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B593CF" w14:textId="77777777" w:rsidR="00BD5515" w:rsidRPr="00261C01" w:rsidRDefault="00BD5515" w:rsidP="00BD5515">
      <w:pPr>
        <w:rPr>
          <w:b/>
          <w:u w:val="single"/>
        </w:rPr>
      </w:pPr>
      <w:r w:rsidRPr="00261C01">
        <w:rPr>
          <w:b/>
          <w:u w:val="single"/>
        </w:rPr>
        <w:t xml:space="preserve">Supplementary File 3: </w:t>
      </w:r>
      <w:r>
        <w:rPr>
          <w:b/>
          <w:u w:val="single"/>
        </w:rPr>
        <w:t xml:space="preserve">List of </w:t>
      </w:r>
      <w:r w:rsidRPr="00261C01">
        <w:rPr>
          <w:b/>
          <w:u w:val="single"/>
        </w:rPr>
        <w:t>Excluded Articles</w:t>
      </w:r>
    </w:p>
    <w:p w14:paraId="236E9778" w14:textId="77777777" w:rsidR="00BD5515" w:rsidRDefault="00BD5515" w:rsidP="00F11021">
      <w:pPr>
        <w:rPr>
          <w:u w:val="single"/>
        </w:rPr>
      </w:pPr>
      <w:bookmarkStart w:id="0" w:name="_GoBack"/>
      <w:bookmarkEnd w:id="0"/>
    </w:p>
    <w:p w14:paraId="41EFEFB5" w14:textId="7FD3F2C9" w:rsidR="00F11021" w:rsidRPr="001650F0" w:rsidRDefault="00BD5515" w:rsidP="00F11021">
      <w:pPr>
        <w:rPr>
          <w:u w:val="single"/>
        </w:rPr>
      </w:pPr>
      <w:r>
        <w:rPr>
          <w:u w:val="single"/>
        </w:rPr>
        <w:t>Reason:</w:t>
      </w:r>
      <w:r>
        <w:rPr>
          <w:u w:val="single"/>
        </w:rPr>
        <w:t xml:space="preserve"> </w:t>
      </w:r>
      <w:r w:rsidR="00F11021" w:rsidRPr="001650F0">
        <w:rPr>
          <w:u w:val="single"/>
        </w:rPr>
        <w:t>Newer guideline available</w:t>
      </w:r>
    </w:p>
    <w:p w14:paraId="74E723BF" w14:textId="6166CD12" w:rsidR="00F11021" w:rsidRPr="001650F0" w:rsidRDefault="00F11021" w:rsidP="00F11021">
      <w:pPr>
        <w:pStyle w:val="ListParagraph"/>
        <w:numPr>
          <w:ilvl w:val="0"/>
          <w:numId w:val="1"/>
        </w:numPr>
        <w:rPr>
          <w:rFonts w:ascii="Times New Roman" w:hAnsi="Times New Roman" w:cs="Times New Roman"/>
        </w:rPr>
      </w:pPr>
      <w:proofErr w:type="spellStart"/>
      <w:r w:rsidRPr="001650F0">
        <w:rPr>
          <w:rFonts w:ascii="Times New Roman" w:hAnsi="Times New Roman" w:cs="Times New Roman"/>
        </w:rPr>
        <w:t>Cibulka</w:t>
      </w:r>
      <w:proofErr w:type="spellEnd"/>
      <w:r w:rsidRPr="001650F0">
        <w:rPr>
          <w:rFonts w:ascii="Times New Roman" w:hAnsi="Times New Roman" w:cs="Times New Roman"/>
        </w:rPr>
        <w:t xml:space="preserve"> MT, White DM, </w:t>
      </w:r>
      <w:proofErr w:type="spellStart"/>
      <w:r w:rsidRPr="001650F0">
        <w:rPr>
          <w:rFonts w:ascii="Times New Roman" w:hAnsi="Times New Roman" w:cs="Times New Roman"/>
        </w:rPr>
        <w:t>Woehrle</w:t>
      </w:r>
      <w:proofErr w:type="spellEnd"/>
      <w:r w:rsidRPr="001650F0">
        <w:rPr>
          <w:rFonts w:ascii="Times New Roman" w:hAnsi="Times New Roman" w:cs="Times New Roman"/>
        </w:rPr>
        <w:t xml:space="preserve"> J, et al (2009) Hip pain and mobility deficits--hip osteoarthritis: clinical practice guidelines linked to the international classification of functioning, disability, and health from the orthopaedic section of the American Physical Therapy Association. J </w:t>
      </w:r>
      <w:proofErr w:type="spellStart"/>
      <w:r w:rsidRPr="001650F0">
        <w:rPr>
          <w:rFonts w:ascii="Times New Roman" w:hAnsi="Times New Roman" w:cs="Times New Roman"/>
        </w:rPr>
        <w:t>Orthop</w:t>
      </w:r>
      <w:proofErr w:type="spellEnd"/>
      <w:r w:rsidRPr="001650F0">
        <w:rPr>
          <w:rFonts w:ascii="Times New Roman" w:hAnsi="Times New Roman" w:cs="Times New Roman"/>
        </w:rPr>
        <w:t xml:space="preserve"> Sports Phys </w:t>
      </w:r>
      <w:proofErr w:type="spellStart"/>
      <w:r w:rsidRPr="001650F0">
        <w:rPr>
          <w:rFonts w:ascii="Times New Roman" w:hAnsi="Times New Roman" w:cs="Times New Roman"/>
        </w:rPr>
        <w:t>Ther</w:t>
      </w:r>
      <w:proofErr w:type="spellEnd"/>
      <w:r w:rsidRPr="001650F0">
        <w:rPr>
          <w:rFonts w:ascii="Times New Roman" w:hAnsi="Times New Roman" w:cs="Times New Roman"/>
        </w:rPr>
        <w:t xml:space="preserve"> 39:A1-25.</w:t>
      </w:r>
      <w:r w:rsidR="008070C3" w:rsidRPr="001650F0">
        <w:rPr>
          <w:rFonts w:ascii="Times New Roman" w:hAnsi="Times New Roman" w:cs="Times New Roman"/>
        </w:rPr>
        <w:t xml:space="preserve"> </w:t>
      </w:r>
      <w:r w:rsidRPr="001650F0">
        <w:rPr>
          <w:rFonts w:ascii="Times New Roman" w:hAnsi="Times New Roman" w:cs="Times New Roman"/>
        </w:rPr>
        <w:t>https://doi.org/</w:t>
      </w:r>
      <w:hyperlink r:id="rId5" w:tgtFrame="_blank" w:history="1">
        <w:r w:rsidRPr="001650F0">
          <w:rPr>
            <w:rStyle w:val="Hyperlink"/>
            <w:rFonts w:ascii="Times New Roman" w:hAnsi="Times New Roman" w:cs="Times New Roman"/>
            <w:color w:val="333333"/>
            <w:u w:val="none"/>
            <w:shd w:val="clear" w:color="auto" w:fill="FFFFFF"/>
          </w:rPr>
          <w:t>10.2519/jospt.2009.0301</w:t>
        </w:r>
      </w:hyperlink>
    </w:p>
    <w:p w14:paraId="7A75C383" w14:textId="77777777" w:rsidR="00F11021" w:rsidRPr="001650F0" w:rsidRDefault="00F11021" w:rsidP="00F11021">
      <w:pPr>
        <w:pStyle w:val="ListParagraph"/>
        <w:numPr>
          <w:ilvl w:val="0"/>
          <w:numId w:val="1"/>
        </w:numPr>
        <w:rPr>
          <w:rFonts w:ascii="Times New Roman" w:eastAsia="Times New Roman" w:hAnsi="Times New Roman" w:cs="Times New Roman"/>
          <w:lang w:val="en-CA"/>
        </w:rPr>
      </w:pPr>
      <w:r w:rsidRPr="001650F0">
        <w:rPr>
          <w:rFonts w:ascii="Times New Roman" w:eastAsia="Times New Roman" w:hAnsi="Times New Roman" w:cs="Times New Roman"/>
          <w:lang w:val="en-CA"/>
        </w:rPr>
        <w:t>Croke LM (2014) Treatment of Knee Osteoarthritis: A Clinical Practice Guideline from the AAOS. AFP 89:918–920</w:t>
      </w:r>
    </w:p>
    <w:p w14:paraId="78A2B64A" w14:textId="77777777" w:rsidR="00F11021" w:rsidRPr="001650F0" w:rsidRDefault="00F11021" w:rsidP="00F11021">
      <w:pPr>
        <w:pStyle w:val="ListParagraph"/>
        <w:numPr>
          <w:ilvl w:val="0"/>
          <w:numId w:val="1"/>
        </w:numPr>
        <w:rPr>
          <w:rFonts w:ascii="Times New Roman" w:eastAsia="Times New Roman" w:hAnsi="Times New Roman" w:cs="Times New Roman"/>
          <w:lang w:val="en-CA"/>
        </w:rPr>
      </w:pPr>
      <w:r w:rsidRPr="001650F0">
        <w:rPr>
          <w:rFonts w:ascii="Times New Roman" w:eastAsia="Times New Roman" w:hAnsi="Times New Roman" w:cs="Times New Roman"/>
          <w:lang w:val="en-CA"/>
        </w:rPr>
        <w:t>National Collaborating Centre for Chronic Conditions (UK) (2009) Rheumatoid Arthritis: National Clinical Guideline for Management and Treatment in Adults. Royal College of Physicians (UK), London</w:t>
      </w:r>
    </w:p>
    <w:p w14:paraId="6E3EE5CB" w14:textId="6387256B" w:rsidR="00F11021" w:rsidRPr="001650F0" w:rsidRDefault="00F11021" w:rsidP="008070C3">
      <w:pPr>
        <w:pStyle w:val="ListParagraph"/>
        <w:numPr>
          <w:ilvl w:val="0"/>
          <w:numId w:val="1"/>
        </w:numPr>
        <w:rPr>
          <w:rFonts w:ascii="Times New Roman" w:eastAsia="Times New Roman" w:hAnsi="Times New Roman" w:cs="Times New Roman"/>
          <w:lang w:val="en-CA"/>
        </w:rPr>
      </w:pPr>
      <w:r w:rsidRPr="001650F0">
        <w:rPr>
          <w:rFonts w:ascii="Times New Roman" w:eastAsia="Times New Roman" w:hAnsi="Times New Roman" w:cs="Times New Roman"/>
          <w:lang w:val="en-CA"/>
        </w:rPr>
        <w:t xml:space="preserve">Fonseca JE, </w:t>
      </w:r>
      <w:proofErr w:type="spellStart"/>
      <w:r w:rsidRPr="001650F0">
        <w:rPr>
          <w:rFonts w:ascii="Times New Roman" w:eastAsia="Times New Roman" w:hAnsi="Times New Roman" w:cs="Times New Roman"/>
          <w:lang w:val="en-CA"/>
        </w:rPr>
        <w:t>Canhão</w:t>
      </w:r>
      <w:proofErr w:type="spellEnd"/>
      <w:r w:rsidRPr="001650F0">
        <w:rPr>
          <w:rFonts w:ascii="Times New Roman" w:eastAsia="Times New Roman" w:hAnsi="Times New Roman" w:cs="Times New Roman"/>
          <w:lang w:val="en-CA"/>
        </w:rPr>
        <w:t xml:space="preserve"> H, Reis P, et al (2010) Portuguese guidelines for the use of biological agents in rheumatoid arthritis - March 2010 update. </w:t>
      </w:r>
      <w:proofErr w:type="spellStart"/>
      <w:r w:rsidRPr="001650F0">
        <w:rPr>
          <w:rFonts w:ascii="Times New Roman" w:eastAsia="Times New Roman" w:hAnsi="Times New Roman" w:cs="Times New Roman"/>
          <w:lang w:val="en-CA"/>
        </w:rPr>
        <w:t>Acta</w:t>
      </w:r>
      <w:proofErr w:type="spellEnd"/>
      <w:r w:rsidRPr="001650F0">
        <w:rPr>
          <w:rFonts w:ascii="Times New Roman" w:eastAsia="Times New Roman" w:hAnsi="Times New Roman" w:cs="Times New Roman"/>
          <w:lang w:val="en-CA"/>
        </w:rPr>
        <w:t xml:space="preserve"> </w:t>
      </w:r>
      <w:proofErr w:type="spellStart"/>
      <w:r w:rsidRPr="001650F0">
        <w:rPr>
          <w:rFonts w:ascii="Times New Roman" w:eastAsia="Times New Roman" w:hAnsi="Times New Roman" w:cs="Times New Roman"/>
          <w:lang w:val="en-CA"/>
        </w:rPr>
        <w:t>Reumatol</w:t>
      </w:r>
      <w:proofErr w:type="spellEnd"/>
      <w:r w:rsidRPr="001650F0">
        <w:rPr>
          <w:rFonts w:ascii="Times New Roman" w:eastAsia="Times New Roman" w:hAnsi="Times New Roman" w:cs="Times New Roman"/>
          <w:lang w:val="en-CA"/>
        </w:rPr>
        <w:t xml:space="preserve"> Port 35:95–98</w:t>
      </w:r>
    </w:p>
    <w:p w14:paraId="2EA53AEE" w14:textId="5D23B6A3" w:rsidR="00F11021" w:rsidRPr="001650F0" w:rsidRDefault="00F11021" w:rsidP="00BD5515">
      <w:pPr>
        <w:pStyle w:val="ListParagraph"/>
        <w:numPr>
          <w:ilvl w:val="0"/>
          <w:numId w:val="1"/>
        </w:numPr>
        <w:rPr>
          <w:rFonts w:ascii="Times New Roman" w:eastAsia="Times New Roman" w:hAnsi="Times New Roman" w:cs="Times New Roman"/>
          <w:lang w:val="en-CA"/>
        </w:rPr>
      </w:pPr>
      <w:proofErr w:type="spellStart"/>
      <w:r w:rsidRPr="001650F0">
        <w:rPr>
          <w:rFonts w:ascii="Times New Roman" w:eastAsia="Times New Roman" w:hAnsi="Times New Roman" w:cs="Times New Roman"/>
          <w:lang w:val="en-CA"/>
        </w:rPr>
        <w:t>Saag</w:t>
      </w:r>
      <w:proofErr w:type="spellEnd"/>
      <w:r w:rsidRPr="001650F0">
        <w:rPr>
          <w:rFonts w:ascii="Times New Roman" w:eastAsia="Times New Roman" w:hAnsi="Times New Roman" w:cs="Times New Roman"/>
          <w:lang w:val="en-CA"/>
        </w:rPr>
        <w:t xml:space="preserve"> KG, </w:t>
      </w:r>
      <w:proofErr w:type="spellStart"/>
      <w:r w:rsidRPr="001650F0">
        <w:rPr>
          <w:rFonts w:ascii="Times New Roman" w:eastAsia="Times New Roman" w:hAnsi="Times New Roman" w:cs="Times New Roman"/>
          <w:lang w:val="en-CA"/>
        </w:rPr>
        <w:t>Gim</w:t>
      </w:r>
      <w:proofErr w:type="spellEnd"/>
      <w:r w:rsidRPr="001650F0">
        <w:rPr>
          <w:rFonts w:ascii="Times New Roman" w:eastAsia="Times New Roman" w:hAnsi="Times New Roman" w:cs="Times New Roman"/>
          <w:lang w:val="en-CA"/>
        </w:rPr>
        <w:t xml:space="preserve"> GT, Patkar NM, et al (2008) American College of Rheumatology 2008 recommendations for the use of nonbiologic and biologic disease-modifying antirheumatic drugs in rheumatoid arthritis. </w:t>
      </w:r>
      <w:r w:rsidR="00BD5515" w:rsidRPr="00BD5515">
        <w:rPr>
          <w:rFonts w:ascii="Times New Roman" w:eastAsia="Times New Roman" w:hAnsi="Times New Roman" w:cs="Times New Roman"/>
          <w:lang w:val="en-CA"/>
        </w:rPr>
        <w:t xml:space="preserve">Arthritis Rheum </w:t>
      </w:r>
      <w:r w:rsidRPr="001650F0">
        <w:rPr>
          <w:rFonts w:ascii="Times New Roman" w:eastAsia="Times New Roman" w:hAnsi="Times New Roman" w:cs="Times New Roman"/>
          <w:lang w:val="en-CA"/>
        </w:rPr>
        <w:t xml:space="preserve">59:762–784. </w:t>
      </w:r>
      <w:hyperlink r:id="rId6" w:history="1">
        <w:r w:rsidRPr="001650F0">
          <w:rPr>
            <w:rFonts w:ascii="Times New Roman" w:eastAsia="Times New Roman" w:hAnsi="Times New Roman" w:cs="Times New Roman"/>
            <w:color w:val="0000FF"/>
            <w:u w:val="single"/>
            <w:lang w:val="en-CA"/>
          </w:rPr>
          <w:t>https://doi.org/10.1002/art.23721</w:t>
        </w:r>
      </w:hyperlink>
    </w:p>
    <w:p w14:paraId="68587CDF" w14:textId="7FDB1AC7" w:rsidR="00F11021" w:rsidRPr="001650F0" w:rsidRDefault="00F11021" w:rsidP="00F11021">
      <w:pPr>
        <w:pStyle w:val="ListParagraph"/>
        <w:numPr>
          <w:ilvl w:val="0"/>
          <w:numId w:val="1"/>
        </w:numPr>
        <w:rPr>
          <w:rFonts w:ascii="Times New Roman" w:eastAsia="Times New Roman" w:hAnsi="Times New Roman" w:cs="Times New Roman"/>
          <w:lang w:val="en-CA"/>
        </w:rPr>
      </w:pPr>
      <w:r w:rsidRPr="001650F0">
        <w:rPr>
          <w:rFonts w:ascii="Times New Roman" w:eastAsia="Times New Roman" w:hAnsi="Times New Roman" w:cs="Times New Roman"/>
          <w:lang w:val="en-CA"/>
        </w:rPr>
        <w:t xml:space="preserve">Richmond J, Hunter D, Irrgang J, et al (2010) American Academy of Orthopaedic Surgeons clinical practice guideline on the treatment of osteoarthritis (OA) of the knee. J Bone Joint Surg Am 92:990–993. </w:t>
      </w:r>
      <w:hyperlink r:id="rId7" w:history="1">
        <w:r w:rsidRPr="001650F0">
          <w:rPr>
            <w:rFonts w:ascii="Times New Roman" w:eastAsia="Times New Roman" w:hAnsi="Times New Roman" w:cs="Times New Roman"/>
            <w:color w:val="0000FF"/>
            <w:u w:val="single"/>
            <w:lang w:val="en-CA"/>
          </w:rPr>
          <w:t>https://doi.org/10.2106/JBJS.I.00982</w:t>
        </w:r>
      </w:hyperlink>
    </w:p>
    <w:p w14:paraId="21ABA3BE" w14:textId="77777777" w:rsidR="00F11021" w:rsidRPr="001650F0" w:rsidRDefault="00F11021"/>
    <w:p w14:paraId="65464C9D" w14:textId="55DC49DE" w:rsidR="00F11021" w:rsidRPr="001650F0" w:rsidRDefault="00BD5515">
      <w:pPr>
        <w:rPr>
          <w:u w:val="single"/>
        </w:rPr>
      </w:pPr>
      <w:r>
        <w:rPr>
          <w:u w:val="single"/>
        </w:rPr>
        <w:t xml:space="preserve">Reason: </w:t>
      </w:r>
      <w:r w:rsidR="00F11021" w:rsidRPr="001650F0">
        <w:rPr>
          <w:u w:val="single"/>
        </w:rPr>
        <w:t>Guideline summary</w:t>
      </w:r>
    </w:p>
    <w:p w14:paraId="40FEA6A4" w14:textId="78168A7E" w:rsidR="00F11021" w:rsidRPr="001650F0" w:rsidRDefault="00F11021" w:rsidP="00F11021">
      <w:pPr>
        <w:pStyle w:val="ListParagraph"/>
        <w:numPr>
          <w:ilvl w:val="0"/>
          <w:numId w:val="2"/>
        </w:numPr>
        <w:rPr>
          <w:rFonts w:ascii="Times New Roman" w:hAnsi="Times New Roman" w:cs="Times New Roman"/>
        </w:rPr>
      </w:pPr>
      <w:r w:rsidRPr="001650F0">
        <w:rPr>
          <w:rFonts w:ascii="Times New Roman" w:hAnsi="Times New Roman" w:cs="Times New Roman"/>
        </w:rPr>
        <w:t xml:space="preserve">Bukhari M, Abernethy R, Deighton C, et al (2011) BSR and BHPR guidelines on the use of rituximab in rheumatoid arthritis. Rheumatology (Oxford) 50:2311–2313. </w:t>
      </w:r>
      <w:hyperlink r:id="rId8" w:history="1">
        <w:r w:rsidRPr="001650F0">
          <w:rPr>
            <w:rStyle w:val="Hyperlink"/>
            <w:rFonts w:ascii="Times New Roman" w:hAnsi="Times New Roman" w:cs="Times New Roman"/>
          </w:rPr>
          <w:t>https://doi.org/10.1093/rheumatology/ker106a</w:t>
        </w:r>
      </w:hyperlink>
    </w:p>
    <w:p w14:paraId="7E946ECA" w14:textId="1F6B4361" w:rsidR="00F11021" w:rsidRPr="001650F0" w:rsidRDefault="00F11021"/>
    <w:p w14:paraId="7104ADC9" w14:textId="62DFE074" w:rsidR="00F11021" w:rsidRPr="001650F0" w:rsidRDefault="00BD5515">
      <w:pPr>
        <w:rPr>
          <w:u w:val="single"/>
        </w:rPr>
      </w:pPr>
      <w:r>
        <w:rPr>
          <w:u w:val="single"/>
        </w:rPr>
        <w:t>Reason:</w:t>
      </w:r>
      <w:r>
        <w:rPr>
          <w:u w:val="single"/>
        </w:rPr>
        <w:t xml:space="preserve"> </w:t>
      </w:r>
      <w:r w:rsidR="00F11021" w:rsidRPr="001650F0">
        <w:rPr>
          <w:u w:val="single"/>
        </w:rPr>
        <w:t xml:space="preserve">Irretrievable </w:t>
      </w:r>
    </w:p>
    <w:p w14:paraId="03AD2D4B" w14:textId="77777777" w:rsidR="00F11021" w:rsidRPr="001650F0" w:rsidRDefault="00F11021" w:rsidP="00F11021">
      <w:pPr>
        <w:pStyle w:val="ListParagraph"/>
        <w:numPr>
          <w:ilvl w:val="0"/>
          <w:numId w:val="3"/>
        </w:numPr>
        <w:rPr>
          <w:rFonts w:ascii="Times New Roman" w:hAnsi="Times New Roman" w:cs="Times New Roman"/>
        </w:rPr>
      </w:pPr>
      <w:r w:rsidRPr="001650F0">
        <w:rPr>
          <w:rFonts w:ascii="Times New Roman" w:hAnsi="Times New Roman" w:cs="Times New Roman"/>
        </w:rPr>
        <w:t xml:space="preserve">Albrecht K, </w:t>
      </w:r>
      <w:proofErr w:type="spellStart"/>
      <w:r w:rsidRPr="001650F0">
        <w:rPr>
          <w:rFonts w:ascii="Times New Roman" w:hAnsi="Times New Roman" w:cs="Times New Roman"/>
        </w:rPr>
        <w:t>Krüger</w:t>
      </w:r>
      <w:proofErr w:type="spellEnd"/>
      <w:r w:rsidRPr="001650F0">
        <w:rPr>
          <w:rFonts w:ascii="Times New Roman" w:hAnsi="Times New Roman" w:cs="Times New Roman"/>
        </w:rPr>
        <w:t xml:space="preserve"> K, </w:t>
      </w:r>
      <w:proofErr w:type="spellStart"/>
      <w:r w:rsidRPr="001650F0">
        <w:rPr>
          <w:rFonts w:ascii="Times New Roman" w:hAnsi="Times New Roman" w:cs="Times New Roman"/>
        </w:rPr>
        <w:t>Wollenhaupt</w:t>
      </w:r>
      <w:proofErr w:type="spellEnd"/>
      <w:r w:rsidRPr="001650F0">
        <w:rPr>
          <w:rFonts w:ascii="Times New Roman" w:hAnsi="Times New Roman" w:cs="Times New Roman"/>
        </w:rPr>
        <w:t xml:space="preserve"> J, et al (2014) German guidelines for the sequential medical treatment of rheumatoid arthritis with traditional and biologic disease-modifying antirheumatic drugs. </w:t>
      </w:r>
      <w:proofErr w:type="spellStart"/>
      <w:r w:rsidRPr="001650F0">
        <w:rPr>
          <w:rFonts w:ascii="Times New Roman" w:hAnsi="Times New Roman" w:cs="Times New Roman"/>
        </w:rPr>
        <w:t>Rheumatol</w:t>
      </w:r>
      <w:proofErr w:type="spellEnd"/>
      <w:r w:rsidRPr="001650F0">
        <w:rPr>
          <w:rFonts w:ascii="Times New Roman" w:hAnsi="Times New Roman" w:cs="Times New Roman"/>
        </w:rPr>
        <w:t xml:space="preserve"> </w:t>
      </w:r>
      <w:proofErr w:type="spellStart"/>
      <w:r w:rsidRPr="001650F0">
        <w:rPr>
          <w:rFonts w:ascii="Times New Roman" w:hAnsi="Times New Roman" w:cs="Times New Roman"/>
        </w:rPr>
        <w:t>Int</w:t>
      </w:r>
      <w:proofErr w:type="spellEnd"/>
      <w:r w:rsidRPr="001650F0">
        <w:rPr>
          <w:rFonts w:ascii="Times New Roman" w:hAnsi="Times New Roman" w:cs="Times New Roman"/>
        </w:rPr>
        <w:t xml:space="preserve"> 34:1–9. </w:t>
      </w:r>
      <w:hyperlink r:id="rId9" w:history="1">
        <w:r w:rsidRPr="001650F0">
          <w:rPr>
            <w:rStyle w:val="Hyperlink"/>
            <w:rFonts w:ascii="Times New Roman" w:hAnsi="Times New Roman" w:cs="Times New Roman"/>
          </w:rPr>
          <w:t>https://doi.org/10.1007/s00296-013-2848-3</w:t>
        </w:r>
      </w:hyperlink>
    </w:p>
    <w:p w14:paraId="77C85DB3" w14:textId="7640D286" w:rsidR="00F11021" w:rsidRPr="001650F0" w:rsidRDefault="00F11021" w:rsidP="00BD5515">
      <w:pPr>
        <w:pStyle w:val="ListParagraph"/>
        <w:numPr>
          <w:ilvl w:val="0"/>
          <w:numId w:val="3"/>
        </w:numPr>
        <w:rPr>
          <w:rFonts w:ascii="Times New Roman" w:hAnsi="Times New Roman" w:cs="Times New Roman"/>
        </w:rPr>
      </w:pPr>
      <w:proofErr w:type="spellStart"/>
      <w:r w:rsidRPr="001650F0">
        <w:rPr>
          <w:rFonts w:ascii="Times New Roman" w:hAnsi="Times New Roman" w:cs="Times New Roman"/>
        </w:rPr>
        <w:t>Bykerk</w:t>
      </w:r>
      <w:proofErr w:type="spellEnd"/>
      <w:r w:rsidRPr="001650F0">
        <w:rPr>
          <w:rFonts w:ascii="Times New Roman" w:hAnsi="Times New Roman" w:cs="Times New Roman"/>
        </w:rPr>
        <w:t xml:space="preserve"> VP, </w:t>
      </w:r>
      <w:proofErr w:type="spellStart"/>
      <w:r w:rsidRPr="001650F0">
        <w:rPr>
          <w:rFonts w:ascii="Times New Roman" w:hAnsi="Times New Roman" w:cs="Times New Roman"/>
        </w:rPr>
        <w:t>Akhavan</w:t>
      </w:r>
      <w:proofErr w:type="spellEnd"/>
      <w:r w:rsidRPr="001650F0">
        <w:rPr>
          <w:rFonts w:ascii="Times New Roman" w:hAnsi="Times New Roman" w:cs="Times New Roman"/>
        </w:rPr>
        <w:t xml:space="preserve"> P, </w:t>
      </w:r>
      <w:proofErr w:type="spellStart"/>
      <w:r w:rsidRPr="001650F0">
        <w:rPr>
          <w:rFonts w:ascii="Times New Roman" w:hAnsi="Times New Roman" w:cs="Times New Roman"/>
        </w:rPr>
        <w:t>Hazlewood</w:t>
      </w:r>
      <w:proofErr w:type="spellEnd"/>
      <w:r w:rsidRPr="001650F0">
        <w:rPr>
          <w:rFonts w:ascii="Times New Roman" w:hAnsi="Times New Roman" w:cs="Times New Roman"/>
        </w:rPr>
        <w:t xml:space="preserve"> GS, et al (2012) Canadian Rheumatology Association Recommendations for Pharmacological Management of Rheumatoid Arthritis with Traditional and Biologic Disease-modifying Antirheumatic Drugs. </w:t>
      </w:r>
      <w:r w:rsidR="00BD5515" w:rsidRPr="00BD5515">
        <w:rPr>
          <w:rFonts w:ascii="Times New Roman" w:hAnsi="Times New Roman" w:cs="Times New Roman"/>
        </w:rPr>
        <w:t xml:space="preserve">J </w:t>
      </w:r>
      <w:proofErr w:type="spellStart"/>
      <w:r w:rsidR="00BD5515" w:rsidRPr="00BD5515">
        <w:rPr>
          <w:rFonts w:ascii="Times New Roman" w:hAnsi="Times New Roman" w:cs="Times New Roman"/>
        </w:rPr>
        <w:t>Rheumatol</w:t>
      </w:r>
      <w:proofErr w:type="spellEnd"/>
      <w:r w:rsidR="00BD5515">
        <w:rPr>
          <w:rFonts w:ascii="Times New Roman" w:hAnsi="Times New Roman" w:cs="Times New Roman"/>
        </w:rPr>
        <w:t xml:space="preserve"> </w:t>
      </w:r>
      <w:r w:rsidRPr="001650F0">
        <w:rPr>
          <w:rFonts w:ascii="Times New Roman" w:hAnsi="Times New Roman" w:cs="Times New Roman"/>
        </w:rPr>
        <w:t xml:space="preserve">39:1559–1582. </w:t>
      </w:r>
      <w:hyperlink r:id="rId10" w:history="1">
        <w:r w:rsidRPr="001650F0">
          <w:rPr>
            <w:rStyle w:val="Hyperlink"/>
            <w:rFonts w:ascii="Times New Roman" w:hAnsi="Times New Roman" w:cs="Times New Roman"/>
          </w:rPr>
          <w:t>https://doi.org/10.3899/jrheum.110207</w:t>
        </w:r>
      </w:hyperlink>
    </w:p>
    <w:p w14:paraId="0E12BC38" w14:textId="7D58AC83" w:rsidR="00F11021" w:rsidRPr="001650F0" w:rsidRDefault="00F11021" w:rsidP="00BD5515">
      <w:pPr>
        <w:pStyle w:val="ListParagraph"/>
        <w:numPr>
          <w:ilvl w:val="0"/>
          <w:numId w:val="3"/>
        </w:numPr>
        <w:rPr>
          <w:rFonts w:ascii="Times New Roman" w:hAnsi="Times New Roman" w:cs="Times New Roman"/>
        </w:rPr>
      </w:pPr>
      <w:proofErr w:type="spellStart"/>
      <w:r w:rsidRPr="001650F0">
        <w:rPr>
          <w:rFonts w:ascii="Times New Roman" w:hAnsi="Times New Roman" w:cs="Times New Roman"/>
        </w:rPr>
        <w:t>Cardiel</w:t>
      </w:r>
      <w:proofErr w:type="spellEnd"/>
      <w:r w:rsidRPr="001650F0">
        <w:rPr>
          <w:rFonts w:ascii="Times New Roman" w:hAnsi="Times New Roman" w:cs="Times New Roman"/>
        </w:rPr>
        <w:t xml:space="preserve"> MH, </w:t>
      </w:r>
      <w:proofErr w:type="spellStart"/>
      <w:r w:rsidRPr="001650F0">
        <w:rPr>
          <w:rFonts w:ascii="Times New Roman" w:hAnsi="Times New Roman" w:cs="Times New Roman"/>
        </w:rPr>
        <w:t>Díaz-Borjón</w:t>
      </w:r>
      <w:proofErr w:type="spellEnd"/>
      <w:r w:rsidRPr="001650F0">
        <w:rPr>
          <w:rFonts w:ascii="Times New Roman" w:hAnsi="Times New Roman" w:cs="Times New Roman"/>
        </w:rPr>
        <w:t xml:space="preserve"> A, Vázquez del Mercado Espinosa M, et al (2014) </w:t>
      </w:r>
      <w:proofErr w:type="spellStart"/>
      <w:r w:rsidRPr="001650F0">
        <w:rPr>
          <w:rFonts w:ascii="Times New Roman" w:hAnsi="Times New Roman" w:cs="Times New Roman"/>
        </w:rPr>
        <w:t>Actualización</w:t>
      </w:r>
      <w:proofErr w:type="spellEnd"/>
      <w:r w:rsidRPr="001650F0">
        <w:rPr>
          <w:rFonts w:ascii="Times New Roman" w:hAnsi="Times New Roman" w:cs="Times New Roman"/>
        </w:rPr>
        <w:t xml:space="preserve"> de la </w:t>
      </w:r>
      <w:proofErr w:type="spellStart"/>
      <w:r w:rsidRPr="001650F0">
        <w:rPr>
          <w:rFonts w:ascii="Times New Roman" w:hAnsi="Times New Roman" w:cs="Times New Roman"/>
        </w:rPr>
        <w:t>Guía</w:t>
      </w:r>
      <w:proofErr w:type="spellEnd"/>
      <w:r w:rsidRPr="001650F0">
        <w:rPr>
          <w:rFonts w:ascii="Times New Roman" w:hAnsi="Times New Roman" w:cs="Times New Roman"/>
        </w:rPr>
        <w:t xml:space="preserve"> Mexicana para el </w:t>
      </w:r>
      <w:proofErr w:type="spellStart"/>
      <w:r w:rsidRPr="001650F0">
        <w:rPr>
          <w:rFonts w:ascii="Times New Roman" w:hAnsi="Times New Roman" w:cs="Times New Roman"/>
        </w:rPr>
        <w:t>Tratamiento</w:t>
      </w:r>
      <w:proofErr w:type="spellEnd"/>
      <w:r w:rsidRPr="001650F0">
        <w:rPr>
          <w:rFonts w:ascii="Times New Roman" w:hAnsi="Times New Roman" w:cs="Times New Roman"/>
        </w:rPr>
        <w:t xml:space="preserve"> </w:t>
      </w:r>
      <w:proofErr w:type="spellStart"/>
      <w:r w:rsidRPr="001650F0">
        <w:rPr>
          <w:rFonts w:ascii="Times New Roman" w:hAnsi="Times New Roman" w:cs="Times New Roman"/>
        </w:rPr>
        <w:t>Farmacológico</w:t>
      </w:r>
      <w:proofErr w:type="spellEnd"/>
      <w:r w:rsidRPr="001650F0">
        <w:rPr>
          <w:rFonts w:ascii="Times New Roman" w:hAnsi="Times New Roman" w:cs="Times New Roman"/>
        </w:rPr>
        <w:t xml:space="preserve"> de la </w:t>
      </w:r>
      <w:proofErr w:type="spellStart"/>
      <w:r w:rsidRPr="001650F0">
        <w:rPr>
          <w:rFonts w:ascii="Times New Roman" w:hAnsi="Times New Roman" w:cs="Times New Roman"/>
        </w:rPr>
        <w:t>Artritis</w:t>
      </w:r>
      <w:proofErr w:type="spellEnd"/>
      <w:r w:rsidRPr="001650F0">
        <w:rPr>
          <w:rFonts w:ascii="Times New Roman" w:hAnsi="Times New Roman" w:cs="Times New Roman"/>
        </w:rPr>
        <w:t xml:space="preserve"> </w:t>
      </w:r>
      <w:proofErr w:type="spellStart"/>
      <w:r w:rsidRPr="001650F0">
        <w:rPr>
          <w:rFonts w:ascii="Times New Roman" w:hAnsi="Times New Roman" w:cs="Times New Roman"/>
        </w:rPr>
        <w:t>Reumatoide</w:t>
      </w:r>
      <w:proofErr w:type="spellEnd"/>
      <w:r w:rsidRPr="001650F0">
        <w:rPr>
          <w:rFonts w:ascii="Times New Roman" w:hAnsi="Times New Roman" w:cs="Times New Roman"/>
        </w:rPr>
        <w:t xml:space="preserve"> del </w:t>
      </w:r>
      <w:proofErr w:type="spellStart"/>
      <w:r w:rsidRPr="001650F0">
        <w:rPr>
          <w:rFonts w:ascii="Times New Roman" w:hAnsi="Times New Roman" w:cs="Times New Roman"/>
        </w:rPr>
        <w:t>Colegio</w:t>
      </w:r>
      <w:proofErr w:type="spellEnd"/>
      <w:r w:rsidRPr="001650F0">
        <w:rPr>
          <w:rFonts w:ascii="Times New Roman" w:hAnsi="Times New Roman" w:cs="Times New Roman"/>
        </w:rPr>
        <w:t xml:space="preserve"> </w:t>
      </w:r>
      <w:proofErr w:type="spellStart"/>
      <w:r w:rsidRPr="001650F0">
        <w:rPr>
          <w:rFonts w:ascii="Times New Roman" w:hAnsi="Times New Roman" w:cs="Times New Roman"/>
        </w:rPr>
        <w:t>Mexicano</w:t>
      </w:r>
      <w:proofErr w:type="spellEnd"/>
      <w:r w:rsidRPr="001650F0">
        <w:rPr>
          <w:rFonts w:ascii="Times New Roman" w:hAnsi="Times New Roman" w:cs="Times New Roman"/>
        </w:rPr>
        <w:t xml:space="preserve"> de </w:t>
      </w:r>
      <w:proofErr w:type="spellStart"/>
      <w:r w:rsidRPr="001650F0">
        <w:rPr>
          <w:rFonts w:ascii="Times New Roman" w:hAnsi="Times New Roman" w:cs="Times New Roman"/>
        </w:rPr>
        <w:t>Reumatología</w:t>
      </w:r>
      <w:proofErr w:type="spellEnd"/>
      <w:r w:rsidRPr="001650F0">
        <w:rPr>
          <w:rFonts w:ascii="Times New Roman" w:hAnsi="Times New Roman" w:cs="Times New Roman"/>
        </w:rPr>
        <w:t xml:space="preserve">. </w:t>
      </w:r>
      <w:proofErr w:type="spellStart"/>
      <w:r w:rsidR="00BD5515">
        <w:rPr>
          <w:rFonts w:ascii="Times New Roman" w:hAnsi="Times New Roman" w:cs="Times New Roman"/>
        </w:rPr>
        <w:t>Reumatol</w:t>
      </w:r>
      <w:proofErr w:type="spellEnd"/>
      <w:r w:rsidR="00BD5515" w:rsidRPr="00BD5515">
        <w:rPr>
          <w:rFonts w:ascii="Times New Roman" w:hAnsi="Times New Roman" w:cs="Times New Roman"/>
        </w:rPr>
        <w:t xml:space="preserve"> </w:t>
      </w:r>
      <w:proofErr w:type="spellStart"/>
      <w:r w:rsidR="00BD5515" w:rsidRPr="00BD5515">
        <w:rPr>
          <w:rFonts w:ascii="Times New Roman" w:hAnsi="Times New Roman" w:cs="Times New Roman"/>
        </w:rPr>
        <w:t>Clin</w:t>
      </w:r>
      <w:proofErr w:type="spellEnd"/>
      <w:r w:rsidRPr="001650F0">
        <w:rPr>
          <w:rFonts w:ascii="Times New Roman" w:hAnsi="Times New Roman" w:cs="Times New Roman"/>
        </w:rPr>
        <w:t xml:space="preserve"> 10:227–240. </w:t>
      </w:r>
      <w:hyperlink r:id="rId11" w:history="1">
        <w:r w:rsidRPr="001650F0">
          <w:rPr>
            <w:rStyle w:val="Hyperlink"/>
            <w:rFonts w:ascii="Times New Roman" w:hAnsi="Times New Roman" w:cs="Times New Roman"/>
          </w:rPr>
          <w:t>https://doi.org/10.1016/j.reuma.2013.10.006</w:t>
        </w:r>
      </w:hyperlink>
    </w:p>
    <w:p w14:paraId="2E70EC93" w14:textId="77777777" w:rsidR="00F11021" w:rsidRPr="001650F0" w:rsidRDefault="00F11021" w:rsidP="00F11021">
      <w:pPr>
        <w:pStyle w:val="ListParagraph"/>
        <w:numPr>
          <w:ilvl w:val="0"/>
          <w:numId w:val="3"/>
        </w:numPr>
        <w:rPr>
          <w:rFonts w:ascii="Times New Roman" w:hAnsi="Times New Roman" w:cs="Times New Roman"/>
        </w:rPr>
      </w:pPr>
      <w:r w:rsidRPr="001650F0">
        <w:rPr>
          <w:rFonts w:ascii="Times New Roman" w:hAnsi="Times New Roman" w:cs="Times New Roman"/>
        </w:rPr>
        <w:t xml:space="preserve">Forestier R, André-Vert J, </w:t>
      </w:r>
      <w:proofErr w:type="spellStart"/>
      <w:r w:rsidRPr="001650F0">
        <w:rPr>
          <w:rFonts w:ascii="Times New Roman" w:hAnsi="Times New Roman" w:cs="Times New Roman"/>
        </w:rPr>
        <w:t>Guillez</w:t>
      </w:r>
      <w:proofErr w:type="spellEnd"/>
      <w:r w:rsidRPr="001650F0">
        <w:rPr>
          <w:rFonts w:ascii="Times New Roman" w:hAnsi="Times New Roman" w:cs="Times New Roman"/>
        </w:rPr>
        <w:t xml:space="preserve"> P, et al (2009) Non-drug treatment (excluding surgery) in rheumatoid arthritis: Clinical practice guidelines. Joint Bone Spine 76:691–698. </w:t>
      </w:r>
      <w:hyperlink r:id="rId12" w:history="1">
        <w:r w:rsidRPr="001650F0">
          <w:rPr>
            <w:rStyle w:val="Hyperlink"/>
            <w:rFonts w:ascii="Times New Roman" w:hAnsi="Times New Roman" w:cs="Times New Roman"/>
          </w:rPr>
          <w:t>https://doi.org/10.1016/j.jbspin.2009.01.017</w:t>
        </w:r>
      </w:hyperlink>
    </w:p>
    <w:p w14:paraId="5FE0A441" w14:textId="77777777" w:rsidR="00F11021" w:rsidRPr="001650F0" w:rsidRDefault="00F11021" w:rsidP="00F11021">
      <w:pPr>
        <w:pStyle w:val="ListParagraph"/>
        <w:numPr>
          <w:ilvl w:val="0"/>
          <w:numId w:val="3"/>
        </w:numPr>
        <w:rPr>
          <w:rFonts w:ascii="Times New Roman" w:hAnsi="Times New Roman" w:cs="Times New Roman"/>
        </w:rPr>
      </w:pPr>
      <w:proofErr w:type="spellStart"/>
      <w:r w:rsidRPr="001650F0">
        <w:rPr>
          <w:rFonts w:ascii="Times New Roman" w:hAnsi="Times New Roman" w:cs="Times New Roman"/>
        </w:rPr>
        <w:lastRenderedPageBreak/>
        <w:t>Gaujoux-Viala</w:t>
      </w:r>
      <w:proofErr w:type="spellEnd"/>
      <w:r w:rsidRPr="001650F0">
        <w:rPr>
          <w:rFonts w:ascii="Times New Roman" w:hAnsi="Times New Roman" w:cs="Times New Roman"/>
        </w:rPr>
        <w:t xml:space="preserve"> C, </w:t>
      </w:r>
      <w:proofErr w:type="spellStart"/>
      <w:r w:rsidRPr="001650F0">
        <w:rPr>
          <w:rFonts w:ascii="Times New Roman" w:hAnsi="Times New Roman" w:cs="Times New Roman"/>
        </w:rPr>
        <w:t>Gossec</w:t>
      </w:r>
      <w:proofErr w:type="spellEnd"/>
      <w:r w:rsidRPr="001650F0">
        <w:rPr>
          <w:rFonts w:ascii="Times New Roman" w:hAnsi="Times New Roman" w:cs="Times New Roman"/>
        </w:rPr>
        <w:t xml:space="preserve"> L, </w:t>
      </w:r>
      <w:proofErr w:type="spellStart"/>
      <w:r w:rsidRPr="001650F0">
        <w:rPr>
          <w:rFonts w:ascii="Times New Roman" w:hAnsi="Times New Roman" w:cs="Times New Roman"/>
        </w:rPr>
        <w:t>Cantagrel</w:t>
      </w:r>
      <w:proofErr w:type="spellEnd"/>
      <w:r w:rsidRPr="001650F0">
        <w:rPr>
          <w:rFonts w:ascii="Times New Roman" w:hAnsi="Times New Roman" w:cs="Times New Roman"/>
        </w:rPr>
        <w:t xml:space="preserve"> A, et al (2014) Recommendations of the French Society for Rheumatology for managing rheumatoid arthritis. Joint Bone Spine 81:287–297. </w:t>
      </w:r>
      <w:hyperlink r:id="rId13" w:history="1">
        <w:r w:rsidRPr="001650F0">
          <w:rPr>
            <w:rStyle w:val="Hyperlink"/>
            <w:rFonts w:ascii="Times New Roman" w:hAnsi="Times New Roman" w:cs="Times New Roman"/>
          </w:rPr>
          <w:t>https://doi.org/10.1016/j.jbspin.2014.05.002</w:t>
        </w:r>
      </w:hyperlink>
    </w:p>
    <w:p w14:paraId="3A79CB49" w14:textId="77777777" w:rsidR="008070C3" w:rsidRPr="001650F0" w:rsidRDefault="00F11021" w:rsidP="008070C3">
      <w:pPr>
        <w:pStyle w:val="ListParagraph"/>
        <w:numPr>
          <w:ilvl w:val="0"/>
          <w:numId w:val="3"/>
        </w:numPr>
        <w:rPr>
          <w:rFonts w:ascii="Times New Roman" w:hAnsi="Times New Roman" w:cs="Times New Roman"/>
        </w:rPr>
      </w:pPr>
      <w:r w:rsidRPr="001650F0">
        <w:rPr>
          <w:rFonts w:ascii="Times New Roman" w:hAnsi="Times New Roman" w:cs="Times New Roman"/>
        </w:rPr>
        <w:t xml:space="preserve">Hochberg MC, Altman RD, April KT, et al (2012) American College of Rheumatology 2012 recommendations for the use of nonpharmacologic and pharmacologic therapies in osteoarthritis of the hand, hip, and knee. Arthritis Care Res (Hoboken) 64:465–474. </w:t>
      </w:r>
      <w:hyperlink r:id="rId14" w:history="1">
        <w:r w:rsidRPr="001650F0">
          <w:rPr>
            <w:rStyle w:val="Hyperlink"/>
            <w:rFonts w:ascii="Times New Roman" w:hAnsi="Times New Roman" w:cs="Times New Roman"/>
          </w:rPr>
          <w:t>https://doi.org/10.1002/acr.21596</w:t>
        </w:r>
      </w:hyperlink>
    </w:p>
    <w:p w14:paraId="28EE7CF2" w14:textId="10E179E8" w:rsidR="00F11021" w:rsidRPr="001650F0" w:rsidRDefault="00F11021" w:rsidP="008070C3">
      <w:pPr>
        <w:pStyle w:val="ListParagraph"/>
        <w:numPr>
          <w:ilvl w:val="0"/>
          <w:numId w:val="3"/>
        </w:numPr>
        <w:rPr>
          <w:rFonts w:ascii="Times New Roman" w:hAnsi="Times New Roman" w:cs="Times New Roman"/>
        </w:rPr>
      </w:pPr>
      <w:proofErr w:type="spellStart"/>
      <w:r w:rsidRPr="001650F0">
        <w:rPr>
          <w:rFonts w:ascii="Times New Roman" w:hAnsi="Times New Roman" w:cs="Times New Roman"/>
        </w:rPr>
        <w:t>Izquierdo</w:t>
      </w:r>
      <w:proofErr w:type="spellEnd"/>
      <w:r w:rsidRPr="001650F0">
        <w:rPr>
          <w:rFonts w:ascii="Times New Roman" w:hAnsi="Times New Roman" w:cs="Times New Roman"/>
        </w:rPr>
        <w:t xml:space="preserve"> R, </w:t>
      </w:r>
      <w:proofErr w:type="spellStart"/>
      <w:r w:rsidRPr="001650F0">
        <w:rPr>
          <w:rFonts w:ascii="Times New Roman" w:hAnsi="Times New Roman" w:cs="Times New Roman"/>
        </w:rPr>
        <w:t>Voloshin</w:t>
      </w:r>
      <w:proofErr w:type="spellEnd"/>
      <w:r w:rsidRPr="001650F0">
        <w:rPr>
          <w:rFonts w:ascii="Times New Roman" w:hAnsi="Times New Roman" w:cs="Times New Roman"/>
        </w:rPr>
        <w:t xml:space="preserve"> I, Edwards S, et al (2010) Treatment of Glenohumeral Osteoarthritis. JAAOS - Journal of the American Academy of </w:t>
      </w:r>
      <w:proofErr w:type="spellStart"/>
      <w:r w:rsidRPr="001650F0">
        <w:rPr>
          <w:rFonts w:ascii="Times New Roman" w:hAnsi="Times New Roman" w:cs="Times New Roman"/>
        </w:rPr>
        <w:t>Orthopaedic</w:t>
      </w:r>
      <w:proofErr w:type="spellEnd"/>
      <w:r w:rsidRPr="001650F0">
        <w:rPr>
          <w:rFonts w:ascii="Times New Roman" w:hAnsi="Times New Roman" w:cs="Times New Roman"/>
        </w:rPr>
        <w:t xml:space="preserve"> Surgeons 18:375–382</w:t>
      </w:r>
      <w:r w:rsidR="008070C3" w:rsidRPr="001650F0">
        <w:rPr>
          <w:rFonts w:ascii="Times New Roman" w:hAnsi="Times New Roman" w:cs="Times New Roman"/>
        </w:rPr>
        <w:t>. https://doi.org/</w:t>
      </w:r>
      <w:hyperlink r:id="rId15" w:tgtFrame="_blank" w:history="1">
        <w:r w:rsidR="008070C3" w:rsidRPr="001650F0">
          <w:rPr>
            <w:rStyle w:val="Hyperlink"/>
            <w:rFonts w:ascii="Times New Roman" w:hAnsi="Times New Roman" w:cs="Times New Roman"/>
            <w:color w:val="333333"/>
            <w:shd w:val="clear" w:color="auto" w:fill="FFFFFF"/>
          </w:rPr>
          <w:t>10.5435/00124635-201006000-00010</w:t>
        </w:r>
      </w:hyperlink>
    </w:p>
    <w:p w14:paraId="74ADF0D6" w14:textId="2FD8A920" w:rsidR="00F11021" w:rsidRPr="001650F0" w:rsidRDefault="00F11021" w:rsidP="00F11021">
      <w:pPr>
        <w:pStyle w:val="ListParagraph"/>
        <w:numPr>
          <w:ilvl w:val="0"/>
          <w:numId w:val="3"/>
        </w:numPr>
        <w:rPr>
          <w:rFonts w:ascii="Times New Roman" w:hAnsi="Times New Roman" w:cs="Times New Roman"/>
        </w:rPr>
      </w:pPr>
      <w:proofErr w:type="spellStart"/>
      <w:r w:rsidRPr="001650F0">
        <w:rPr>
          <w:rFonts w:ascii="Times New Roman" w:hAnsi="Times New Roman" w:cs="Times New Roman"/>
        </w:rPr>
        <w:t>Kamaruzaman</w:t>
      </w:r>
      <w:proofErr w:type="spellEnd"/>
      <w:r w:rsidRPr="001650F0">
        <w:rPr>
          <w:rFonts w:ascii="Times New Roman" w:hAnsi="Times New Roman" w:cs="Times New Roman"/>
        </w:rPr>
        <w:t xml:space="preserve"> H (2013) CPG Management of Osteoarthritis (2nd Edition)</w:t>
      </w:r>
      <w:r w:rsidR="008070C3" w:rsidRPr="001650F0">
        <w:rPr>
          <w:rFonts w:ascii="Times New Roman" w:hAnsi="Times New Roman" w:cs="Times New Roman"/>
        </w:rPr>
        <w:t>. Ministry of Health, Malaysia</w:t>
      </w:r>
    </w:p>
    <w:p w14:paraId="70F5617B" w14:textId="1DFFE668" w:rsidR="00F11021" w:rsidRPr="001650F0" w:rsidRDefault="00F11021" w:rsidP="00BD5515">
      <w:pPr>
        <w:pStyle w:val="ListParagraph"/>
        <w:numPr>
          <w:ilvl w:val="0"/>
          <w:numId w:val="3"/>
        </w:numPr>
        <w:rPr>
          <w:rFonts w:ascii="Times New Roman" w:hAnsi="Times New Roman" w:cs="Times New Roman"/>
        </w:rPr>
      </w:pPr>
      <w:r w:rsidRPr="001650F0">
        <w:rPr>
          <w:rFonts w:ascii="Times New Roman" w:hAnsi="Times New Roman" w:cs="Times New Roman"/>
        </w:rPr>
        <w:t xml:space="preserve">Kameda H, </w:t>
      </w:r>
      <w:proofErr w:type="spellStart"/>
      <w:r w:rsidRPr="001650F0">
        <w:rPr>
          <w:rFonts w:ascii="Times New Roman" w:hAnsi="Times New Roman" w:cs="Times New Roman"/>
        </w:rPr>
        <w:t>Fujii</w:t>
      </w:r>
      <w:proofErr w:type="spellEnd"/>
      <w:r w:rsidRPr="001650F0">
        <w:rPr>
          <w:rFonts w:ascii="Times New Roman" w:hAnsi="Times New Roman" w:cs="Times New Roman"/>
        </w:rPr>
        <w:t xml:space="preserve"> T, Nakajima A, et al (2019) Japan College of Rheumatology guideline for the use of methotrexate in patients with rheumatoid arthritis. </w:t>
      </w:r>
      <w:r w:rsidR="00BD5515" w:rsidRPr="00BD5515">
        <w:rPr>
          <w:rFonts w:ascii="Times New Roman" w:hAnsi="Times New Roman" w:cs="Times New Roman"/>
        </w:rPr>
        <w:t xml:space="preserve">Mod </w:t>
      </w:r>
      <w:proofErr w:type="spellStart"/>
      <w:r w:rsidR="00BD5515" w:rsidRPr="00BD5515">
        <w:rPr>
          <w:rFonts w:ascii="Times New Roman" w:hAnsi="Times New Roman" w:cs="Times New Roman"/>
        </w:rPr>
        <w:t>Rheumatol</w:t>
      </w:r>
      <w:proofErr w:type="spellEnd"/>
      <w:r w:rsidR="00BD5515" w:rsidRPr="00BD5515">
        <w:rPr>
          <w:rFonts w:ascii="Times New Roman" w:hAnsi="Times New Roman" w:cs="Times New Roman"/>
        </w:rPr>
        <w:t xml:space="preserve"> </w:t>
      </w:r>
      <w:r w:rsidRPr="001650F0">
        <w:rPr>
          <w:rFonts w:ascii="Times New Roman" w:hAnsi="Times New Roman" w:cs="Times New Roman"/>
        </w:rPr>
        <w:t xml:space="preserve">29:31–40. </w:t>
      </w:r>
      <w:hyperlink r:id="rId16" w:history="1">
        <w:r w:rsidRPr="001650F0">
          <w:rPr>
            <w:rStyle w:val="Hyperlink"/>
            <w:rFonts w:ascii="Times New Roman" w:hAnsi="Times New Roman" w:cs="Times New Roman"/>
          </w:rPr>
          <w:t>https://doi.org/10.1080/14397595.2018.1472358</w:t>
        </w:r>
      </w:hyperlink>
    </w:p>
    <w:p w14:paraId="1A2754A4" w14:textId="77777777" w:rsidR="00F11021" w:rsidRPr="001650F0" w:rsidRDefault="00F11021" w:rsidP="00F11021">
      <w:pPr>
        <w:pStyle w:val="ListParagraph"/>
        <w:numPr>
          <w:ilvl w:val="0"/>
          <w:numId w:val="3"/>
        </w:numPr>
        <w:rPr>
          <w:rFonts w:ascii="Times New Roman" w:hAnsi="Times New Roman" w:cs="Times New Roman"/>
        </w:rPr>
      </w:pPr>
      <w:proofErr w:type="spellStart"/>
      <w:r w:rsidRPr="001650F0">
        <w:rPr>
          <w:rFonts w:ascii="Times New Roman" w:hAnsi="Times New Roman" w:cs="Times New Roman"/>
        </w:rPr>
        <w:t>Malaviya</w:t>
      </w:r>
      <w:proofErr w:type="spellEnd"/>
      <w:r w:rsidRPr="001650F0">
        <w:rPr>
          <w:rFonts w:ascii="Times New Roman" w:hAnsi="Times New Roman" w:cs="Times New Roman"/>
        </w:rPr>
        <w:t xml:space="preserve"> AP, </w:t>
      </w:r>
      <w:proofErr w:type="spellStart"/>
      <w:r w:rsidRPr="001650F0">
        <w:rPr>
          <w:rFonts w:ascii="Times New Roman" w:hAnsi="Times New Roman" w:cs="Times New Roman"/>
        </w:rPr>
        <w:t>Ledingham</w:t>
      </w:r>
      <w:proofErr w:type="spellEnd"/>
      <w:r w:rsidRPr="001650F0">
        <w:rPr>
          <w:rFonts w:ascii="Times New Roman" w:hAnsi="Times New Roman" w:cs="Times New Roman"/>
        </w:rPr>
        <w:t xml:space="preserve"> J, Bloxham J, et al (2014) The 2013 BSR and BHPR guideline for the use of intravenous tocilizumab in the treatment of adult patients with rheumatoid arthritis. Rheumatology (Oxford) 53:1344–1346. </w:t>
      </w:r>
      <w:hyperlink r:id="rId17" w:history="1">
        <w:r w:rsidRPr="001650F0">
          <w:rPr>
            <w:rStyle w:val="Hyperlink"/>
            <w:rFonts w:ascii="Times New Roman" w:hAnsi="Times New Roman" w:cs="Times New Roman"/>
          </w:rPr>
          <w:t>https://doi.org/10.1093/rheumatology/keu168</w:t>
        </w:r>
      </w:hyperlink>
    </w:p>
    <w:p w14:paraId="465337DF" w14:textId="343D1996" w:rsidR="00F11021" w:rsidRPr="001650F0" w:rsidRDefault="00F11021" w:rsidP="00BD5515">
      <w:pPr>
        <w:pStyle w:val="ListParagraph"/>
        <w:numPr>
          <w:ilvl w:val="0"/>
          <w:numId w:val="3"/>
        </w:numPr>
        <w:rPr>
          <w:rFonts w:ascii="Times New Roman" w:hAnsi="Times New Roman" w:cs="Times New Roman"/>
        </w:rPr>
      </w:pPr>
      <w:r w:rsidRPr="001650F0">
        <w:rPr>
          <w:rFonts w:ascii="Times New Roman" w:hAnsi="Times New Roman" w:cs="Times New Roman"/>
        </w:rPr>
        <w:t xml:space="preserve">McGrory B, Weber K, Lynott J, et al (2016) The American Academy of Orthopaedic Surgeons Evidence-Based Clinical Practice Guideline on Surgical Management of Osteoarthritis of the Knee. </w:t>
      </w:r>
      <w:r w:rsidR="00BD5515" w:rsidRPr="00BD5515">
        <w:rPr>
          <w:rFonts w:ascii="Times New Roman" w:hAnsi="Times New Roman" w:cs="Times New Roman"/>
        </w:rPr>
        <w:t xml:space="preserve">J Bone Joint </w:t>
      </w:r>
      <w:proofErr w:type="spellStart"/>
      <w:r w:rsidR="00BD5515" w:rsidRPr="00BD5515">
        <w:rPr>
          <w:rFonts w:ascii="Times New Roman" w:hAnsi="Times New Roman" w:cs="Times New Roman"/>
        </w:rPr>
        <w:t>Surg</w:t>
      </w:r>
      <w:proofErr w:type="spellEnd"/>
      <w:r w:rsidR="00BD5515" w:rsidRPr="00BD5515">
        <w:rPr>
          <w:rFonts w:ascii="Times New Roman" w:hAnsi="Times New Roman" w:cs="Times New Roman"/>
        </w:rPr>
        <w:t xml:space="preserve"> </w:t>
      </w:r>
      <w:r w:rsidRPr="001650F0">
        <w:rPr>
          <w:rFonts w:ascii="Times New Roman" w:hAnsi="Times New Roman" w:cs="Times New Roman"/>
        </w:rPr>
        <w:t xml:space="preserve">98:688–692. </w:t>
      </w:r>
      <w:hyperlink r:id="rId18" w:history="1">
        <w:r w:rsidRPr="001650F0">
          <w:rPr>
            <w:rStyle w:val="Hyperlink"/>
            <w:rFonts w:ascii="Times New Roman" w:hAnsi="Times New Roman" w:cs="Times New Roman"/>
          </w:rPr>
          <w:t>https://doi.org/10.2106/JBJS.15.01311</w:t>
        </w:r>
      </w:hyperlink>
    </w:p>
    <w:p w14:paraId="2E1BA5DC" w14:textId="7379C7C8" w:rsidR="00F11021" w:rsidRPr="001650F0" w:rsidRDefault="00F11021" w:rsidP="00BD5515">
      <w:pPr>
        <w:pStyle w:val="ListParagraph"/>
        <w:numPr>
          <w:ilvl w:val="0"/>
          <w:numId w:val="3"/>
        </w:numPr>
        <w:rPr>
          <w:rFonts w:ascii="Times New Roman" w:hAnsi="Times New Roman" w:cs="Times New Roman"/>
        </w:rPr>
      </w:pPr>
      <w:r w:rsidRPr="001650F0">
        <w:rPr>
          <w:rFonts w:ascii="Times New Roman" w:hAnsi="Times New Roman" w:cs="Times New Roman"/>
        </w:rPr>
        <w:t xml:space="preserve">Singh JA, </w:t>
      </w:r>
      <w:proofErr w:type="spellStart"/>
      <w:r w:rsidRPr="001650F0">
        <w:rPr>
          <w:rFonts w:ascii="Times New Roman" w:hAnsi="Times New Roman" w:cs="Times New Roman"/>
        </w:rPr>
        <w:t>Saag</w:t>
      </w:r>
      <w:proofErr w:type="spellEnd"/>
      <w:r w:rsidRPr="001650F0">
        <w:rPr>
          <w:rFonts w:ascii="Times New Roman" w:hAnsi="Times New Roman" w:cs="Times New Roman"/>
        </w:rPr>
        <w:t xml:space="preserve"> KG, Bridges SL, et al (2016) 2015 American College of Rheumatology Guideline for the Treatment of Rheumatoid Arthritis. </w:t>
      </w:r>
      <w:r w:rsidR="00BD5515">
        <w:rPr>
          <w:rFonts w:ascii="Times New Roman" w:hAnsi="Times New Roman" w:cs="Times New Roman"/>
        </w:rPr>
        <w:t xml:space="preserve">Arthritis </w:t>
      </w:r>
      <w:proofErr w:type="spellStart"/>
      <w:r w:rsidR="00BD5515">
        <w:rPr>
          <w:rFonts w:ascii="Times New Roman" w:hAnsi="Times New Roman" w:cs="Times New Roman"/>
        </w:rPr>
        <w:t>Rheumatol</w:t>
      </w:r>
      <w:proofErr w:type="spellEnd"/>
      <w:r w:rsidR="00BD5515">
        <w:rPr>
          <w:rFonts w:ascii="Times New Roman" w:hAnsi="Times New Roman" w:cs="Times New Roman"/>
        </w:rPr>
        <w:t xml:space="preserve"> </w:t>
      </w:r>
      <w:r w:rsidRPr="001650F0">
        <w:rPr>
          <w:rFonts w:ascii="Times New Roman" w:hAnsi="Times New Roman" w:cs="Times New Roman"/>
        </w:rPr>
        <w:t xml:space="preserve">68:1–26. </w:t>
      </w:r>
      <w:hyperlink r:id="rId19" w:history="1">
        <w:r w:rsidRPr="001650F0">
          <w:rPr>
            <w:rStyle w:val="Hyperlink"/>
            <w:rFonts w:ascii="Times New Roman" w:hAnsi="Times New Roman" w:cs="Times New Roman"/>
          </w:rPr>
          <w:t>https://doi.org/10.1002/art.39480</w:t>
        </w:r>
      </w:hyperlink>
    </w:p>
    <w:p w14:paraId="49233B73" w14:textId="2F2A0B2B" w:rsidR="00F11021" w:rsidRPr="001650F0" w:rsidRDefault="00F11021" w:rsidP="00BD5515">
      <w:pPr>
        <w:pStyle w:val="ListParagraph"/>
        <w:numPr>
          <w:ilvl w:val="0"/>
          <w:numId w:val="3"/>
        </w:numPr>
        <w:rPr>
          <w:rFonts w:ascii="Times New Roman" w:hAnsi="Times New Roman" w:cs="Times New Roman"/>
        </w:rPr>
      </w:pPr>
      <w:proofErr w:type="spellStart"/>
      <w:r w:rsidRPr="001650F0">
        <w:rPr>
          <w:rFonts w:ascii="Times New Roman" w:hAnsi="Times New Roman" w:cs="Times New Roman"/>
        </w:rPr>
        <w:t>Smolen</w:t>
      </w:r>
      <w:proofErr w:type="spellEnd"/>
      <w:r w:rsidRPr="001650F0">
        <w:rPr>
          <w:rFonts w:ascii="Times New Roman" w:hAnsi="Times New Roman" w:cs="Times New Roman"/>
        </w:rPr>
        <w:t xml:space="preserve"> JS, </w:t>
      </w:r>
      <w:proofErr w:type="spellStart"/>
      <w:r w:rsidRPr="001650F0">
        <w:rPr>
          <w:rFonts w:ascii="Times New Roman" w:hAnsi="Times New Roman" w:cs="Times New Roman"/>
        </w:rPr>
        <w:t>Landewé</w:t>
      </w:r>
      <w:proofErr w:type="spellEnd"/>
      <w:r w:rsidRPr="001650F0">
        <w:rPr>
          <w:rFonts w:ascii="Times New Roman" w:hAnsi="Times New Roman" w:cs="Times New Roman"/>
        </w:rPr>
        <w:t xml:space="preserve"> R, </w:t>
      </w:r>
      <w:proofErr w:type="spellStart"/>
      <w:proofErr w:type="gramStart"/>
      <w:r w:rsidRPr="001650F0">
        <w:rPr>
          <w:rFonts w:ascii="Times New Roman" w:hAnsi="Times New Roman" w:cs="Times New Roman"/>
        </w:rPr>
        <w:t>Bijlsma</w:t>
      </w:r>
      <w:proofErr w:type="spellEnd"/>
      <w:proofErr w:type="gramEnd"/>
      <w:r w:rsidRPr="001650F0">
        <w:rPr>
          <w:rFonts w:ascii="Times New Roman" w:hAnsi="Times New Roman" w:cs="Times New Roman"/>
        </w:rPr>
        <w:t xml:space="preserve"> J, et al (2017) EULAR recommendations for the management of rheumatoid arthritis with synthetic and biological disease-modifying antirheumatic drugs: 2016 update. </w:t>
      </w:r>
      <w:r w:rsidR="00BD5515">
        <w:rPr>
          <w:rFonts w:ascii="Times New Roman" w:hAnsi="Times New Roman" w:cs="Times New Roman"/>
        </w:rPr>
        <w:t>Ann Rheum Dis</w:t>
      </w:r>
      <w:r w:rsidR="00BD5515" w:rsidRPr="00BD5515">
        <w:rPr>
          <w:rFonts w:ascii="Times New Roman" w:hAnsi="Times New Roman" w:cs="Times New Roman"/>
        </w:rPr>
        <w:t xml:space="preserve"> </w:t>
      </w:r>
      <w:r w:rsidRPr="001650F0">
        <w:rPr>
          <w:rFonts w:ascii="Times New Roman" w:hAnsi="Times New Roman" w:cs="Times New Roman"/>
        </w:rPr>
        <w:t xml:space="preserve">76:960–977. </w:t>
      </w:r>
      <w:hyperlink r:id="rId20" w:history="1">
        <w:r w:rsidRPr="001650F0">
          <w:rPr>
            <w:rStyle w:val="Hyperlink"/>
            <w:rFonts w:ascii="Times New Roman" w:hAnsi="Times New Roman" w:cs="Times New Roman"/>
          </w:rPr>
          <w:t>https://doi.org/10.1136/annrheumdis-2016-210715</w:t>
        </w:r>
      </w:hyperlink>
    </w:p>
    <w:p w14:paraId="65A847CB" w14:textId="77777777" w:rsidR="00F11021" w:rsidRPr="001650F0" w:rsidRDefault="00F11021" w:rsidP="00F11021">
      <w:pPr>
        <w:pStyle w:val="ListParagraph"/>
        <w:numPr>
          <w:ilvl w:val="0"/>
          <w:numId w:val="3"/>
        </w:numPr>
        <w:rPr>
          <w:rFonts w:ascii="Times New Roman" w:hAnsi="Times New Roman" w:cs="Times New Roman"/>
        </w:rPr>
      </w:pPr>
      <w:proofErr w:type="spellStart"/>
      <w:r w:rsidRPr="001650F0">
        <w:rPr>
          <w:rFonts w:ascii="Times New Roman" w:hAnsi="Times New Roman" w:cs="Times New Roman"/>
        </w:rPr>
        <w:t>Smolen</w:t>
      </w:r>
      <w:proofErr w:type="spellEnd"/>
      <w:r w:rsidRPr="001650F0">
        <w:rPr>
          <w:rFonts w:ascii="Times New Roman" w:hAnsi="Times New Roman" w:cs="Times New Roman"/>
        </w:rPr>
        <w:t xml:space="preserve"> JS, </w:t>
      </w:r>
      <w:proofErr w:type="spellStart"/>
      <w:r w:rsidRPr="001650F0">
        <w:rPr>
          <w:rFonts w:ascii="Times New Roman" w:hAnsi="Times New Roman" w:cs="Times New Roman"/>
        </w:rPr>
        <w:t>Landewé</w:t>
      </w:r>
      <w:proofErr w:type="spellEnd"/>
      <w:r w:rsidRPr="001650F0">
        <w:rPr>
          <w:rFonts w:ascii="Times New Roman" w:hAnsi="Times New Roman" w:cs="Times New Roman"/>
        </w:rPr>
        <w:t xml:space="preserve"> R, </w:t>
      </w:r>
      <w:proofErr w:type="spellStart"/>
      <w:proofErr w:type="gramStart"/>
      <w:r w:rsidRPr="001650F0">
        <w:rPr>
          <w:rFonts w:ascii="Times New Roman" w:hAnsi="Times New Roman" w:cs="Times New Roman"/>
        </w:rPr>
        <w:t>Breedveld</w:t>
      </w:r>
      <w:proofErr w:type="spellEnd"/>
      <w:proofErr w:type="gramEnd"/>
      <w:r w:rsidRPr="001650F0">
        <w:rPr>
          <w:rFonts w:ascii="Times New Roman" w:hAnsi="Times New Roman" w:cs="Times New Roman"/>
        </w:rPr>
        <w:t xml:space="preserve"> FC, et al (2014) EULAR recommendations for the management of rheumatoid arthritis with synthetic and biological disease-modifying antirheumatic drugs: 2013 update. Ann Rheum Dis 73:492–509. </w:t>
      </w:r>
      <w:hyperlink r:id="rId21" w:history="1">
        <w:r w:rsidRPr="001650F0">
          <w:rPr>
            <w:rStyle w:val="Hyperlink"/>
            <w:rFonts w:ascii="Times New Roman" w:hAnsi="Times New Roman" w:cs="Times New Roman"/>
          </w:rPr>
          <w:t>https://doi.org/10.1136/annrheumdis-2013-204573</w:t>
        </w:r>
      </w:hyperlink>
    </w:p>
    <w:p w14:paraId="7BD566DD" w14:textId="06C66CBF" w:rsidR="001650F0" w:rsidRPr="001650F0" w:rsidRDefault="001650F0" w:rsidP="001650F0">
      <w:pPr>
        <w:pStyle w:val="ListParagraph"/>
        <w:numPr>
          <w:ilvl w:val="0"/>
          <w:numId w:val="3"/>
        </w:numPr>
        <w:ind w:right="96"/>
        <w:rPr>
          <w:rFonts w:ascii="Times New Roman" w:hAnsi="Times New Roman" w:cs="Times New Roman"/>
        </w:rPr>
      </w:pPr>
      <w:r w:rsidRPr="001650F0">
        <w:rPr>
          <w:rFonts w:ascii="Times New Roman" w:hAnsi="Times New Roman" w:cs="Times New Roman"/>
        </w:rPr>
        <w:t xml:space="preserve">Spanish Society of Rheumatology Update of the clinical practice guideline for the management of rheumatoid arthritis in Spain Clinical Practice Guidelines. Guideline Central. </w:t>
      </w:r>
      <w:hyperlink r:id="rId22" w:anchor="section-date" w:history="1">
        <w:r w:rsidRPr="001650F0">
          <w:rPr>
            <w:rStyle w:val="Hyperlink"/>
            <w:rFonts w:ascii="Times New Roman" w:hAnsi="Times New Roman" w:cs="Times New Roman"/>
          </w:rPr>
          <w:t>https://www.guidelinecentral.com/summaries/update-of-the-clinical-practice-guideline-for-the-management-of-rheumatoid-arthritis-in-spain/#section-date</w:t>
        </w:r>
      </w:hyperlink>
      <w:r w:rsidR="00BD5515">
        <w:rPr>
          <w:rFonts w:ascii="Times New Roman" w:hAnsi="Times New Roman" w:cs="Times New Roman"/>
        </w:rPr>
        <w:t>.</w:t>
      </w:r>
    </w:p>
    <w:p w14:paraId="594E1A01" w14:textId="77777777" w:rsidR="00F11021" w:rsidRPr="00F11021" w:rsidRDefault="00F11021"/>
    <w:sectPr w:rsidR="00F11021" w:rsidRPr="00F11021" w:rsidSect="001106E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E5696"/>
    <w:multiLevelType w:val="hybridMultilevel"/>
    <w:tmpl w:val="657264BC"/>
    <w:lvl w:ilvl="0" w:tplc="0F822A86">
      <w:start w:val="1"/>
      <w:numFmt w:val="decimal"/>
      <w:lvlText w:val="%1."/>
      <w:lvlJc w:val="lef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CB158D"/>
    <w:multiLevelType w:val="hybridMultilevel"/>
    <w:tmpl w:val="51E2A7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1BA2FDF"/>
    <w:multiLevelType w:val="hybridMultilevel"/>
    <w:tmpl w:val="CB8E90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021"/>
    <w:rsid w:val="001106EA"/>
    <w:rsid w:val="001650F0"/>
    <w:rsid w:val="003272C6"/>
    <w:rsid w:val="003A4CA6"/>
    <w:rsid w:val="00765435"/>
    <w:rsid w:val="008070C3"/>
    <w:rsid w:val="00BD5515"/>
    <w:rsid w:val="00E06EBB"/>
    <w:rsid w:val="00F11021"/>
    <w:rsid w:val="00F37F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4C26A"/>
  <w14:defaultImageDpi w14:val="32767"/>
  <w15:chartTrackingRefBased/>
  <w15:docId w15:val="{5ABDCEFD-65E4-0148-AEBD-03AE20015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1021"/>
    <w:rPr>
      <w:rFonts w:ascii="Times New Roman" w:eastAsia="Times New Roman" w:hAnsi="Times New Roman" w:cs="Times New Roman"/>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11021"/>
    <w:rPr>
      <w:color w:val="0000FF"/>
      <w:u w:val="single"/>
    </w:rPr>
  </w:style>
  <w:style w:type="paragraph" w:styleId="ListParagraph">
    <w:name w:val="List Paragraph"/>
    <w:basedOn w:val="Normal"/>
    <w:uiPriority w:val="34"/>
    <w:qFormat/>
    <w:rsid w:val="00F11021"/>
    <w:pPr>
      <w:ind w:left="720"/>
      <w:contextualSpacing/>
    </w:pPr>
    <w:rPr>
      <w:rFonts w:asciiTheme="minorHAnsi" w:eastAsiaTheme="minorHAnsi" w:hAnsiTheme="minorHAnsi" w:cstheme="minorBidi"/>
      <w:lang w:val="en-US"/>
    </w:rPr>
  </w:style>
  <w:style w:type="character" w:styleId="FollowedHyperlink">
    <w:name w:val="FollowedHyperlink"/>
    <w:basedOn w:val="DefaultParagraphFont"/>
    <w:uiPriority w:val="99"/>
    <w:semiHidden/>
    <w:unhideWhenUsed/>
    <w:rsid w:val="008070C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049997">
      <w:bodyDiv w:val="1"/>
      <w:marLeft w:val="0"/>
      <w:marRight w:val="0"/>
      <w:marTop w:val="0"/>
      <w:marBottom w:val="0"/>
      <w:divBdr>
        <w:top w:val="none" w:sz="0" w:space="0" w:color="auto"/>
        <w:left w:val="none" w:sz="0" w:space="0" w:color="auto"/>
        <w:bottom w:val="none" w:sz="0" w:space="0" w:color="auto"/>
        <w:right w:val="none" w:sz="0" w:space="0" w:color="auto"/>
      </w:divBdr>
      <w:divsChild>
        <w:div w:id="1536503321">
          <w:marLeft w:val="0"/>
          <w:marRight w:val="0"/>
          <w:marTop w:val="0"/>
          <w:marBottom w:val="0"/>
          <w:divBdr>
            <w:top w:val="none" w:sz="0" w:space="0" w:color="auto"/>
            <w:left w:val="none" w:sz="0" w:space="0" w:color="auto"/>
            <w:bottom w:val="none" w:sz="0" w:space="0" w:color="auto"/>
            <w:right w:val="none" w:sz="0" w:space="0" w:color="auto"/>
          </w:divBdr>
          <w:divsChild>
            <w:div w:id="1334842859">
              <w:marLeft w:val="0"/>
              <w:marRight w:val="0"/>
              <w:marTop w:val="0"/>
              <w:marBottom w:val="0"/>
              <w:divBdr>
                <w:top w:val="none" w:sz="0" w:space="0" w:color="auto"/>
                <w:left w:val="none" w:sz="0" w:space="0" w:color="auto"/>
                <w:bottom w:val="none" w:sz="0" w:space="0" w:color="auto"/>
                <w:right w:val="none" w:sz="0" w:space="0" w:color="auto"/>
              </w:divBdr>
              <w:divsChild>
                <w:div w:id="1371808903">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671183513">
      <w:bodyDiv w:val="1"/>
      <w:marLeft w:val="0"/>
      <w:marRight w:val="0"/>
      <w:marTop w:val="0"/>
      <w:marBottom w:val="0"/>
      <w:divBdr>
        <w:top w:val="none" w:sz="0" w:space="0" w:color="auto"/>
        <w:left w:val="none" w:sz="0" w:space="0" w:color="auto"/>
        <w:bottom w:val="none" w:sz="0" w:space="0" w:color="auto"/>
        <w:right w:val="none" w:sz="0" w:space="0" w:color="auto"/>
      </w:divBdr>
      <w:divsChild>
        <w:div w:id="981302392">
          <w:marLeft w:val="0"/>
          <w:marRight w:val="0"/>
          <w:marTop w:val="0"/>
          <w:marBottom w:val="0"/>
          <w:divBdr>
            <w:top w:val="none" w:sz="0" w:space="0" w:color="auto"/>
            <w:left w:val="none" w:sz="0" w:space="0" w:color="auto"/>
            <w:bottom w:val="none" w:sz="0" w:space="0" w:color="auto"/>
            <w:right w:val="none" w:sz="0" w:space="0" w:color="auto"/>
          </w:divBdr>
          <w:divsChild>
            <w:div w:id="1825079276">
              <w:marLeft w:val="0"/>
              <w:marRight w:val="0"/>
              <w:marTop w:val="0"/>
              <w:marBottom w:val="0"/>
              <w:divBdr>
                <w:top w:val="none" w:sz="0" w:space="0" w:color="auto"/>
                <w:left w:val="none" w:sz="0" w:space="0" w:color="auto"/>
                <w:bottom w:val="none" w:sz="0" w:space="0" w:color="auto"/>
                <w:right w:val="none" w:sz="0" w:space="0" w:color="auto"/>
              </w:divBdr>
              <w:divsChild>
                <w:div w:id="812139571">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803619931">
      <w:bodyDiv w:val="1"/>
      <w:marLeft w:val="0"/>
      <w:marRight w:val="0"/>
      <w:marTop w:val="0"/>
      <w:marBottom w:val="0"/>
      <w:divBdr>
        <w:top w:val="none" w:sz="0" w:space="0" w:color="auto"/>
        <w:left w:val="none" w:sz="0" w:space="0" w:color="auto"/>
        <w:bottom w:val="none" w:sz="0" w:space="0" w:color="auto"/>
        <w:right w:val="none" w:sz="0" w:space="0" w:color="auto"/>
      </w:divBdr>
      <w:divsChild>
        <w:div w:id="1075083023">
          <w:marLeft w:val="0"/>
          <w:marRight w:val="0"/>
          <w:marTop w:val="0"/>
          <w:marBottom w:val="0"/>
          <w:divBdr>
            <w:top w:val="none" w:sz="0" w:space="0" w:color="auto"/>
            <w:left w:val="none" w:sz="0" w:space="0" w:color="auto"/>
            <w:bottom w:val="none" w:sz="0" w:space="0" w:color="auto"/>
            <w:right w:val="none" w:sz="0" w:space="0" w:color="auto"/>
          </w:divBdr>
          <w:divsChild>
            <w:div w:id="89939012">
              <w:marLeft w:val="0"/>
              <w:marRight w:val="0"/>
              <w:marTop w:val="0"/>
              <w:marBottom w:val="240"/>
              <w:divBdr>
                <w:top w:val="none" w:sz="0" w:space="0" w:color="auto"/>
                <w:left w:val="none" w:sz="0" w:space="0" w:color="auto"/>
                <w:bottom w:val="none" w:sz="0" w:space="0" w:color="auto"/>
                <w:right w:val="none" w:sz="0" w:space="0" w:color="auto"/>
              </w:divBdr>
              <w:divsChild>
                <w:div w:id="2003001237">
                  <w:marLeft w:val="600"/>
                  <w:marRight w:val="96"/>
                  <w:marTop w:val="0"/>
                  <w:marBottom w:val="0"/>
                  <w:divBdr>
                    <w:top w:val="none" w:sz="0" w:space="0" w:color="auto"/>
                    <w:left w:val="none" w:sz="0" w:space="0" w:color="auto"/>
                    <w:bottom w:val="none" w:sz="0" w:space="0" w:color="auto"/>
                    <w:right w:val="none" w:sz="0" w:space="0" w:color="auto"/>
                  </w:divBdr>
                </w:div>
              </w:divsChild>
            </w:div>
            <w:div w:id="1621643812">
              <w:marLeft w:val="0"/>
              <w:marRight w:val="0"/>
              <w:marTop w:val="0"/>
              <w:marBottom w:val="240"/>
              <w:divBdr>
                <w:top w:val="none" w:sz="0" w:space="0" w:color="auto"/>
                <w:left w:val="none" w:sz="0" w:space="0" w:color="auto"/>
                <w:bottom w:val="none" w:sz="0" w:space="0" w:color="auto"/>
                <w:right w:val="none" w:sz="0" w:space="0" w:color="auto"/>
              </w:divBdr>
              <w:divsChild>
                <w:div w:id="1083721699">
                  <w:marLeft w:val="600"/>
                  <w:marRight w:val="96"/>
                  <w:marTop w:val="0"/>
                  <w:marBottom w:val="0"/>
                  <w:divBdr>
                    <w:top w:val="none" w:sz="0" w:space="0" w:color="auto"/>
                    <w:left w:val="none" w:sz="0" w:space="0" w:color="auto"/>
                    <w:bottom w:val="none" w:sz="0" w:space="0" w:color="auto"/>
                    <w:right w:val="none" w:sz="0" w:space="0" w:color="auto"/>
                  </w:divBdr>
                </w:div>
              </w:divsChild>
            </w:div>
            <w:div w:id="810827525">
              <w:marLeft w:val="0"/>
              <w:marRight w:val="0"/>
              <w:marTop w:val="0"/>
              <w:marBottom w:val="240"/>
              <w:divBdr>
                <w:top w:val="none" w:sz="0" w:space="0" w:color="auto"/>
                <w:left w:val="none" w:sz="0" w:space="0" w:color="auto"/>
                <w:bottom w:val="none" w:sz="0" w:space="0" w:color="auto"/>
                <w:right w:val="none" w:sz="0" w:space="0" w:color="auto"/>
              </w:divBdr>
              <w:divsChild>
                <w:div w:id="1650859745">
                  <w:marLeft w:val="600"/>
                  <w:marRight w:val="96"/>
                  <w:marTop w:val="0"/>
                  <w:marBottom w:val="0"/>
                  <w:divBdr>
                    <w:top w:val="none" w:sz="0" w:space="0" w:color="auto"/>
                    <w:left w:val="none" w:sz="0" w:space="0" w:color="auto"/>
                    <w:bottom w:val="none" w:sz="0" w:space="0" w:color="auto"/>
                    <w:right w:val="none" w:sz="0" w:space="0" w:color="auto"/>
                  </w:divBdr>
                </w:div>
              </w:divsChild>
            </w:div>
            <w:div w:id="2078085118">
              <w:marLeft w:val="0"/>
              <w:marRight w:val="0"/>
              <w:marTop w:val="0"/>
              <w:marBottom w:val="240"/>
              <w:divBdr>
                <w:top w:val="none" w:sz="0" w:space="0" w:color="auto"/>
                <w:left w:val="none" w:sz="0" w:space="0" w:color="auto"/>
                <w:bottom w:val="none" w:sz="0" w:space="0" w:color="auto"/>
                <w:right w:val="none" w:sz="0" w:space="0" w:color="auto"/>
              </w:divBdr>
              <w:divsChild>
                <w:div w:id="905141488">
                  <w:marLeft w:val="600"/>
                  <w:marRight w:val="96"/>
                  <w:marTop w:val="0"/>
                  <w:marBottom w:val="0"/>
                  <w:divBdr>
                    <w:top w:val="none" w:sz="0" w:space="0" w:color="auto"/>
                    <w:left w:val="none" w:sz="0" w:space="0" w:color="auto"/>
                    <w:bottom w:val="none" w:sz="0" w:space="0" w:color="auto"/>
                    <w:right w:val="none" w:sz="0" w:space="0" w:color="auto"/>
                  </w:divBdr>
                </w:div>
              </w:divsChild>
            </w:div>
            <w:div w:id="986670963">
              <w:marLeft w:val="0"/>
              <w:marRight w:val="0"/>
              <w:marTop w:val="0"/>
              <w:marBottom w:val="240"/>
              <w:divBdr>
                <w:top w:val="none" w:sz="0" w:space="0" w:color="auto"/>
                <w:left w:val="none" w:sz="0" w:space="0" w:color="auto"/>
                <w:bottom w:val="none" w:sz="0" w:space="0" w:color="auto"/>
                <w:right w:val="none" w:sz="0" w:space="0" w:color="auto"/>
              </w:divBdr>
              <w:divsChild>
                <w:div w:id="337467867">
                  <w:marLeft w:val="600"/>
                  <w:marRight w:val="96"/>
                  <w:marTop w:val="0"/>
                  <w:marBottom w:val="0"/>
                  <w:divBdr>
                    <w:top w:val="none" w:sz="0" w:space="0" w:color="auto"/>
                    <w:left w:val="none" w:sz="0" w:space="0" w:color="auto"/>
                    <w:bottom w:val="none" w:sz="0" w:space="0" w:color="auto"/>
                    <w:right w:val="none" w:sz="0" w:space="0" w:color="auto"/>
                  </w:divBdr>
                </w:div>
              </w:divsChild>
            </w:div>
            <w:div w:id="744182488">
              <w:marLeft w:val="0"/>
              <w:marRight w:val="0"/>
              <w:marTop w:val="0"/>
              <w:marBottom w:val="240"/>
              <w:divBdr>
                <w:top w:val="none" w:sz="0" w:space="0" w:color="auto"/>
                <w:left w:val="none" w:sz="0" w:space="0" w:color="auto"/>
                <w:bottom w:val="none" w:sz="0" w:space="0" w:color="auto"/>
                <w:right w:val="none" w:sz="0" w:space="0" w:color="auto"/>
              </w:divBdr>
              <w:divsChild>
                <w:div w:id="1057584477">
                  <w:marLeft w:val="600"/>
                  <w:marRight w:val="96"/>
                  <w:marTop w:val="0"/>
                  <w:marBottom w:val="0"/>
                  <w:divBdr>
                    <w:top w:val="none" w:sz="0" w:space="0" w:color="auto"/>
                    <w:left w:val="none" w:sz="0" w:space="0" w:color="auto"/>
                    <w:bottom w:val="none" w:sz="0" w:space="0" w:color="auto"/>
                    <w:right w:val="none" w:sz="0" w:space="0" w:color="auto"/>
                  </w:divBdr>
                </w:div>
              </w:divsChild>
            </w:div>
            <w:div w:id="1491946007">
              <w:marLeft w:val="0"/>
              <w:marRight w:val="0"/>
              <w:marTop w:val="0"/>
              <w:marBottom w:val="240"/>
              <w:divBdr>
                <w:top w:val="none" w:sz="0" w:space="0" w:color="auto"/>
                <w:left w:val="none" w:sz="0" w:space="0" w:color="auto"/>
                <w:bottom w:val="none" w:sz="0" w:space="0" w:color="auto"/>
                <w:right w:val="none" w:sz="0" w:space="0" w:color="auto"/>
              </w:divBdr>
              <w:divsChild>
                <w:div w:id="1029406611">
                  <w:marLeft w:val="600"/>
                  <w:marRight w:val="96"/>
                  <w:marTop w:val="0"/>
                  <w:marBottom w:val="0"/>
                  <w:divBdr>
                    <w:top w:val="none" w:sz="0" w:space="0" w:color="auto"/>
                    <w:left w:val="none" w:sz="0" w:space="0" w:color="auto"/>
                    <w:bottom w:val="none" w:sz="0" w:space="0" w:color="auto"/>
                    <w:right w:val="none" w:sz="0" w:space="0" w:color="auto"/>
                  </w:divBdr>
                </w:div>
              </w:divsChild>
            </w:div>
            <w:div w:id="845946535">
              <w:marLeft w:val="0"/>
              <w:marRight w:val="0"/>
              <w:marTop w:val="0"/>
              <w:marBottom w:val="240"/>
              <w:divBdr>
                <w:top w:val="none" w:sz="0" w:space="0" w:color="auto"/>
                <w:left w:val="none" w:sz="0" w:space="0" w:color="auto"/>
                <w:bottom w:val="none" w:sz="0" w:space="0" w:color="auto"/>
                <w:right w:val="none" w:sz="0" w:space="0" w:color="auto"/>
              </w:divBdr>
              <w:divsChild>
                <w:div w:id="2100635308">
                  <w:marLeft w:val="600"/>
                  <w:marRight w:val="96"/>
                  <w:marTop w:val="0"/>
                  <w:marBottom w:val="0"/>
                  <w:divBdr>
                    <w:top w:val="none" w:sz="0" w:space="0" w:color="auto"/>
                    <w:left w:val="none" w:sz="0" w:space="0" w:color="auto"/>
                    <w:bottom w:val="none" w:sz="0" w:space="0" w:color="auto"/>
                    <w:right w:val="none" w:sz="0" w:space="0" w:color="auto"/>
                  </w:divBdr>
                </w:div>
              </w:divsChild>
            </w:div>
            <w:div w:id="1732995181">
              <w:marLeft w:val="0"/>
              <w:marRight w:val="0"/>
              <w:marTop w:val="0"/>
              <w:marBottom w:val="240"/>
              <w:divBdr>
                <w:top w:val="none" w:sz="0" w:space="0" w:color="auto"/>
                <w:left w:val="none" w:sz="0" w:space="0" w:color="auto"/>
                <w:bottom w:val="none" w:sz="0" w:space="0" w:color="auto"/>
                <w:right w:val="none" w:sz="0" w:space="0" w:color="auto"/>
              </w:divBdr>
              <w:divsChild>
                <w:div w:id="1920555217">
                  <w:marLeft w:val="600"/>
                  <w:marRight w:val="96"/>
                  <w:marTop w:val="0"/>
                  <w:marBottom w:val="0"/>
                  <w:divBdr>
                    <w:top w:val="none" w:sz="0" w:space="0" w:color="auto"/>
                    <w:left w:val="none" w:sz="0" w:space="0" w:color="auto"/>
                    <w:bottom w:val="none" w:sz="0" w:space="0" w:color="auto"/>
                    <w:right w:val="none" w:sz="0" w:space="0" w:color="auto"/>
                  </w:divBdr>
                </w:div>
              </w:divsChild>
            </w:div>
            <w:div w:id="41908333">
              <w:marLeft w:val="0"/>
              <w:marRight w:val="0"/>
              <w:marTop w:val="0"/>
              <w:marBottom w:val="240"/>
              <w:divBdr>
                <w:top w:val="none" w:sz="0" w:space="0" w:color="auto"/>
                <w:left w:val="none" w:sz="0" w:space="0" w:color="auto"/>
                <w:bottom w:val="none" w:sz="0" w:space="0" w:color="auto"/>
                <w:right w:val="none" w:sz="0" w:space="0" w:color="auto"/>
              </w:divBdr>
              <w:divsChild>
                <w:div w:id="903493703">
                  <w:marLeft w:val="600"/>
                  <w:marRight w:val="96"/>
                  <w:marTop w:val="0"/>
                  <w:marBottom w:val="0"/>
                  <w:divBdr>
                    <w:top w:val="none" w:sz="0" w:space="0" w:color="auto"/>
                    <w:left w:val="none" w:sz="0" w:space="0" w:color="auto"/>
                    <w:bottom w:val="none" w:sz="0" w:space="0" w:color="auto"/>
                    <w:right w:val="none" w:sz="0" w:space="0" w:color="auto"/>
                  </w:divBdr>
                </w:div>
              </w:divsChild>
            </w:div>
            <w:div w:id="1034845041">
              <w:marLeft w:val="0"/>
              <w:marRight w:val="0"/>
              <w:marTop w:val="0"/>
              <w:marBottom w:val="240"/>
              <w:divBdr>
                <w:top w:val="none" w:sz="0" w:space="0" w:color="auto"/>
                <w:left w:val="none" w:sz="0" w:space="0" w:color="auto"/>
                <w:bottom w:val="none" w:sz="0" w:space="0" w:color="auto"/>
                <w:right w:val="none" w:sz="0" w:space="0" w:color="auto"/>
              </w:divBdr>
              <w:divsChild>
                <w:div w:id="207497280">
                  <w:marLeft w:val="600"/>
                  <w:marRight w:val="96"/>
                  <w:marTop w:val="0"/>
                  <w:marBottom w:val="0"/>
                  <w:divBdr>
                    <w:top w:val="none" w:sz="0" w:space="0" w:color="auto"/>
                    <w:left w:val="none" w:sz="0" w:space="0" w:color="auto"/>
                    <w:bottom w:val="none" w:sz="0" w:space="0" w:color="auto"/>
                    <w:right w:val="none" w:sz="0" w:space="0" w:color="auto"/>
                  </w:divBdr>
                </w:div>
              </w:divsChild>
            </w:div>
            <w:div w:id="2035619688">
              <w:marLeft w:val="0"/>
              <w:marRight w:val="0"/>
              <w:marTop w:val="0"/>
              <w:marBottom w:val="240"/>
              <w:divBdr>
                <w:top w:val="none" w:sz="0" w:space="0" w:color="auto"/>
                <w:left w:val="none" w:sz="0" w:space="0" w:color="auto"/>
                <w:bottom w:val="none" w:sz="0" w:space="0" w:color="auto"/>
                <w:right w:val="none" w:sz="0" w:space="0" w:color="auto"/>
              </w:divBdr>
              <w:divsChild>
                <w:div w:id="1359622794">
                  <w:marLeft w:val="600"/>
                  <w:marRight w:val="96"/>
                  <w:marTop w:val="0"/>
                  <w:marBottom w:val="0"/>
                  <w:divBdr>
                    <w:top w:val="none" w:sz="0" w:space="0" w:color="auto"/>
                    <w:left w:val="none" w:sz="0" w:space="0" w:color="auto"/>
                    <w:bottom w:val="none" w:sz="0" w:space="0" w:color="auto"/>
                    <w:right w:val="none" w:sz="0" w:space="0" w:color="auto"/>
                  </w:divBdr>
                </w:div>
              </w:divsChild>
            </w:div>
            <w:div w:id="1919091240">
              <w:marLeft w:val="0"/>
              <w:marRight w:val="0"/>
              <w:marTop w:val="0"/>
              <w:marBottom w:val="240"/>
              <w:divBdr>
                <w:top w:val="none" w:sz="0" w:space="0" w:color="auto"/>
                <w:left w:val="none" w:sz="0" w:space="0" w:color="auto"/>
                <w:bottom w:val="none" w:sz="0" w:space="0" w:color="auto"/>
                <w:right w:val="none" w:sz="0" w:space="0" w:color="auto"/>
              </w:divBdr>
              <w:divsChild>
                <w:div w:id="2133863697">
                  <w:marLeft w:val="600"/>
                  <w:marRight w:val="96"/>
                  <w:marTop w:val="0"/>
                  <w:marBottom w:val="0"/>
                  <w:divBdr>
                    <w:top w:val="none" w:sz="0" w:space="0" w:color="auto"/>
                    <w:left w:val="none" w:sz="0" w:space="0" w:color="auto"/>
                    <w:bottom w:val="none" w:sz="0" w:space="0" w:color="auto"/>
                    <w:right w:val="none" w:sz="0" w:space="0" w:color="auto"/>
                  </w:divBdr>
                </w:div>
              </w:divsChild>
            </w:div>
            <w:div w:id="1080566233">
              <w:marLeft w:val="0"/>
              <w:marRight w:val="0"/>
              <w:marTop w:val="0"/>
              <w:marBottom w:val="240"/>
              <w:divBdr>
                <w:top w:val="none" w:sz="0" w:space="0" w:color="auto"/>
                <w:left w:val="none" w:sz="0" w:space="0" w:color="auto"/>
                <w:bottom w:val="none" w:sz="0" w:space="0" w:color="auto"/>
                <w:right w:val="none" w:sz="0" w:space="0" w:color="auto"/>
              </w:divBdr>
              <w:divsChild>
                <w:div w:id="1114788408">
                  <w:marLeft w:val="600"/>
                  <w:marRight w:val="96"/>
                  <w:marTop w:val="0"/>
                  <w:marBottom w:val="0"/>
                  <w:divBdr>
                    <w:top w:val="none" w:sz="0" w:space="0" w:color="auto"/>
                    <w:left w:val="none" w:sz="0" w:space="0" w:color="auto"/>
                    <w:bottom w:val="none" w:sz="0" w:space="0" w:color="auto"/>
                    <w:right w:val="none" w:sz="0" w:space="0" w:color="auto"/>
                  </w:divBdr>
                </w:div>
              </w:divsChild>
            </w:div>
            <w:div w:id="746532031">
              <w:marLeft w:val="0"/>
              <w:marRight w:val="0"/>
              <w:marTop w:val="0"/>
              <w:marBottom w:val="0"/>
              <w:divBdr>
                <w:top w:val="none" w:sz="0" w:space="0" w:color="auto"/>
                <w:left w:val="none" w:sz="0" w:space="0" w:color="auto"/>
                <w:bottom w:val="none" w:sz="0" w:space="0" w:color="auto"/>
                <w:right w:val="none" w:sz="0" w:space="0" w:color="auto"/>
              </w:divBdr>
              <w:divsChild>
                <w:div w:id="32732893">
                  <w:marLeft w:val="60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814952678">
      <w:bodyDiv w:val="1"/>
      <w:marLeft w:val="0"/>
      <w:marRight w:val="0"/>
      <w:marTop w:val="0"/>
      <w:marBottom w:val="0"/>
      <w:divBdr>
        <w:top w:val="none" w:sz="0" w:space="0" w:color="auto"/>
        <w:left w:val="none" w:sz="0" w:space="0" w:color="auto"/>
        <w:bottom w:val="none" w:sz="0" w:space="0" w:color="auto"/>
        <w:right w:val="none" w:sz="0" w:space="0" w:color="auto"/>
      </w:divBdr>
    </w:div>
    <w:div w:id="1192914773">
      <w:bodyDiv w:val="1"/>
      <w:marLeft w:val="0"/>
      <w:marRight w:val="0"/>
      <w:marTop w:val="0"/>
      <w:marBottom w:val="0"/>
      <w:divBdr>
        <w:top w:val="none" w:sz="0" w:space="0" w:color="auto"/>
        <w:left w:val="none" w:sz="0" w:space="0" w:color="auto"/>
        <w:bottom w:val="none" w:sz="0" w:space="0" w:color="auto"/>
        <w:right w:val="none" w:sz="0" w:space="0" w:color="auto"/>
      </w:divBdr>
    </w:div>
    <w:div w:id="2124571666">
      <w:bodyDiv w:val="1"/>
      <w:marLeft w:val="0"/>
      <w:marRight w:val="0"/>
      <w:marTop w:val="0"/>
      <w:marBottom w:val="0"/>
      <w:divBdr>
        <w:top w:val="none" w:sz="0" w:space="0" w:color="auto"/>
        <w:left w:val="none" w:sz="0" w:space="0" w:color="auto"/>
        <w:bottom w:val="none" w:sz="0" w:space="0" w:color="auto"/>
        <w:right w:val="none" w:sz="0" w:space="0" w:color="auto"/>
      </w:divBdr>
      <w:divsChild>
        <w:div w:id="1100611734">
          <w:marLeft w:val="0"/>
          <w:marRight w:val="0"/>
          <w:marTop w:val="0"/>
          <w:marBottom w:val="0"/>
          <w:divBdr>
            <w:top w:val="none" w:sz="0" w:space="0" w:color="auto"/>
            <w:left w:val="none" w:sz="0" w:space="0" w:color="auto"/>
            <w:bottom w:val="none" w:sz="0" w:space="0" w:color="auto"/>
            <w:right w:val="none" w:sz="0" w:space="0" w:color="auto"/>
          </w:divBdr>
          <w:divsChild>
            <w:div w:id="701977786">
              <w:marLeft w:val="0"/>
              <w:marRight w:val="0"/>
              <w:marTop w:val="0"/>
              <w:marBottom w:val="240"/>
              <w:divBdr>
                <w:top w:val="none" w:sz="0" w:space="0" w:color="auto"/>
                <w:left w:val="none" w:sz="0" w:space="0" w:color="auto"/>
                <w:bottom w:val="none" w:sz="0" w:space="0" w:color="auto"/>
                <w:right w:val="none" w:sz="0" w:space="0" w:color="auto"/>
              </w:divBdr>
              <w:divsChild>
                <w:div w:id="2144540761">
                  <w:marLeft w:val="360"/>
                  <w:marRight w:val="96"/>
                  <w:marTop w:val="0"/>
                  <w:marBottom w:val="0"/>
                  <w:divBdr>
                    <w:top w:val="none" w:sz="0" w:space="0" w:color="auto"/>
                    <w:left w:val="none" w:sz="0" w:space="0" w:color="auto"/>
                    <w:bottom w:val="none" w:sz="0" w:space="0" w:color="auto"/>
                    <w:right w:val="none" w:sz="0" w:space="0" w:color="auto"/>
                  </w:divBdr>
                </w:div>
              </w:divsChild>
            </w:div>
            <w:div w:id="762188879">
              <w:marLeft w:val="0"/>
              <w:marRight w:val="0"/>
              <w:marTop w:val="0"/>
              <w:marBottom w:val="240"/>
              <w:divBdr>
                <w:top w:val="none" w:sz="0" w:space="0" w:color="auto"/>
                <w:left w:val="none" w:sz="0" w:space="0" w:color="auto"/>
                <w:bottom w:val="none" w:sz="0" w:space="0" w:color="auto"/>
                <w:right w:val="none" w:sz="0" w:space="0" w:color="auto"/>
              </w:divBdr>
              <w:divsChild>
                <w:div w:id="2050950269">
                  <w:marLeft w:val="360"/>
                  <w:marRight w:val="96"/>
                  <w:marTop w:val="0"/>
                  <w:marBottom w:val="0"/>
                  <w:divBdr>
                    <w:top w:val="none" w:sz="0" w:space="0" w:color="auto"/>
                    <w:left w:val="none" w:sz="0" w:space="0" w:color="auto"/>
                    <w:bottom w:val="none" w:sz="0" w:space="0" w:color="auto"/>
                    <w:right w:val="none" w:sz="0" w:space="0" w:color="auto"/>
                  </w:divBdr>
                </w:div>
              </w:divsChild>
            </w:div>
            <w:div w:id="1615939804">
              <w:marLeft w:val="0"/>
              <w:marRight w:val="0"/>
              <w:marTop w:val="0"/>
              <w:marBottom w:val="240"/>
              <w:divBdr>
                <w:top w:val="none" w:sz="0" w:space="0" w:color="auto"/>
                <w:left w:val="none" w:sz="0" w:space="0" w:color="auto"/>
                <w:bottom w:val="none" w:sz="0" w:space="0" w:color="auto"/>
                <w:right w:val="none" w:sz="0" w:space="0" w:color="auto"/>
              </w:divBdr>
              <w:divsChild>
                <w:div w:id="629557205">
                  <w:marLeft w:val="360"/>
                  <w:marRight w:val="96"/>
                  <w:marTop w:val="0"/>
                  <w:marBottom w:val="0"/>
                  <w:divBdr>
                    <w:top w:val="none" w:sz="0" w:space="0" w:color="auto"/>
                    <w:left w:val="none" w:sz="0" w:space="0" w:color="auto"/>
                    <w:bottom w:val="none" w:sz="0" w:space="0" w:color="auto"/>
                    <w:right w:val="none" w:sz="0" w:space="0" w:color="auto"/>
                  </w:divBdr>
                </w:div>
              </w:divsChild>
            </w:div>
            <w:div w:id="939991092">
              <w:marLeft w:val="0"/>
              <w:marRight w:val="0"/>
              <w:marTop w:val="0"/>
              <w:marBottom w:val="240"/>
              <w:divBdr>
                <w:top w:val="none" w:sz="0" w:space="0" w:color="auto"/>
                <w:left w:val="none" w:sz="0" w:space="0" w:color="auto"/>
                <w:bottom w:val="none" w:sz="0" w:space="0" w:color="auto"/>
                <w:right w:val="none" w:sz="0" w:space="0" w:color="auto"/>
              </w:divBdr>
              <w:divsChild>
                <w:div w:id="1271160076">
                  <w:marLeft w:val="360"/>
                  <w:marRight w:val="96"/>
                  <w:marTop w:val="0"/>
                  <w:marBottom w:val="0"/>
                  <w:divBdr>
                    <w:top w:val="none" w:sz="0" w:space="0" w:color="auto"/>
                    <w:left w:val="none" w:sz="0" w:space="0" w:color="auto"/>
                    <w:bottom w:val="none" w:sz="0" w:space="0" w:color="auto"/>
                    <w:right w:val="none" w:sz="0" w:space="0" w:color="auto"/>
                  </w:divBdr>
                </w:div>
              </w:divsChild>
            </w:div>
            <w:div w:id="1753433350">
              <w:marLeft w:val="0"/>
              <w:marRight w:val="0"/>
              <w:marTop w:val="0"/>
              <w:marBottom w:val="240"/>
              <w:divBdr>
                <w:top w:val="none" w:sz="0" w:space="0" w:color="auto"/>
                <w:left w:val="none" w:sz="0" w:space="0" w:color="auto"/>
                <w:bottom w:val="none" w:sz="0" w:space="0" w:color="auto"/>
                <w:right w:val="none" w:sz="0" w:space="0" w:color="auto"/>
              </w:divBdr>
              <w:divsChild>
                <w:div w:id="1896313039">
                  <w:marLeft w:val="360"/>
                  <w:marRight w:val="96"/>
                  <w:marTop w:val="0"/>
                  <w:marBottom w:val="0"/>
                  <w:divBdr>
                    <w:top w:val="none" w:sz="0" w:space="0" w:color="auto"/>
                    <w:left w:val="none" w:sz="0" w:space="0" w:color="auto"/>
                    <w:bottom w:val="none" w:sz="0" w:space="0" w:color="auto"/>
                    <w:right w:val="none" w:sz="0" w:space="0" w:color="auto"/>
                  </w:divBdr>
                </w:div>
              </w:divsChild>
            </w:div>
            <w:div w:id="689601853">
              <w:marLeft w:val="0"/>
              <w:marRight w:val="0"/>
              <w:marTop w:val="0"/>
              <w:marBottom w:val="0"/>
              <w:divBdr>
                <w:top w:val="none" w:sz="0" w:space="0" w:color="auto"/>
                <w:left w:val="none" w:sz="0" w:space="0" w:color="auto"/>
                <w:bottom w:val="none" w:sz="0" w:space="0" w:color="auto"/>
                <w:right w:val="none" w:sz="0" w:space="0" w:color="auto"/>
              </w:divBdr>
              <w:divsChild>
                <w:div w:id="344211491">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rheumatology/ker106a" TargetMode="External"/><Relationship Id="rId13" Type="http://schemas.openxmlformats.org/officeDocument/2006/relationships/hyperlink" Target="https://doi.org/10.1016/j.jbspin.2014.05.002" TargetMode="External"/><Relationship Id="rId18" Type="http://schemas.openxmlformats.org/officeDocument/2006/relationships/hyperlink" Target="https://doi.org/10.2106/JBJS.15.01311" TargetMode="External"/><Relationship Id="rId3" Type="http://schemas.openxmlformats.org/officeDocument/2006/relationships/settings" Target="settings.xml"/><Relationship Id="rId21" Type="http://schemas.openxmlformats.org/officeDocument/2006/relationships/hyperlink" Target="https://doi.org/10.1136/annrheumdis-2013-204573" TargetMode="External"/><Relationship Id="rId7" Type="http://schemas.openxmlformats.org/officeDocument/2006/relationships/hyperlink" Target="https://doi.org/10.2106/JBJS.I.00982" TargetMode="External"/><Relationship Id="rId12" Type="http://schemas.openxmlformats.org/officeDocument/2006/relationships/hyperlink" Target="https://doi.org/10.1016/j.jbspin.2009.01.017" TargetMode="External"/><Relationship Id="rId17" Type="http://schemas.openxmlformats.org/officeDocument/2006/relationships/hyperlink" Target="https://doi.org/10.1093/rheumatology/keu168" TargetMode="External"/><Relationship Id="rId2" Type="http://schemas.openxmlformats.org/officeDocument/2006/relationships/styles" Target="styles.xml"/><Relationship Id="rId16" Type="http://schemas.openxmlformats.org/officeDocument/2006/relationships/hyperlink" Target="https://doi.org/10.1080/14397595.2018.1472358" TargetMode="External"/><Relationship Id="rId20" Type="http://schemas.openxmlformats.org/officeDocument/2006/relationships/hyperlink" Target="https://doi.org/10.1136/annrheumdis-2016-210715" TargetMode="External"/><Relationship Id="rId1" Type="http://schemas.openxmlformats.org/officeDocument/2006/relationships/numbering" Target="numbering.xml"/><Relationship Id="rId6" Type="http://schemas.openxmlformats.org/officeDocument/2006/relationships/hyperlink" Target="https://doi.org/10.1002/art.23721" TargetMode="External"/><Relationship Id="rId11" Type="http://schemas.openxmlformats.org/officeDocument/2006/relationships/hyperlink" Target="https://doi.org/10.1016/j.reuma.2013.10.006" TargetMode="External"/><Relationship Id="rId24" Type="http://schemas.openxmlformats.org/officeDocument/2006/relationships/theme" Target="theme/theme1.xml"/><Relationship Id="rId5" Type="http://schemas.openxmlformats.org/officeDocument/2006/relationships/hyperlink" Target="https://doi.org/10.2519/jospt.2009.0301" TargetMode="External"/><Relationship Id="rId15" Type="http://schemas.openxmlformats.org/officeDocument/2006/relationships/hyperlink" Target="https://doi.org/10.5435/00124635-201006000-00010" TargetMode="External"/><Relationship Id="rId23" Type="http://schemas.openxmlformats.org/officeDocument/2006/relationships/fontTable" Target="fontTable.xml"/><Relationship Id="rId10" Type="http://schemas.openxmlformats.org/officeDocument/2006/relationships/hyperlink" Target="https://doi.org/10.3899/jrheum.110207" TargetMode="External"/><Relationship Id="rId19" Type="http://schemas.openxmlformats.org/officeDocument/2006/relationships/hyperlink" Target="https://doi.org/10.1002/art.39480" TargetMode="External"/><Relationship Id="rId4" Type="http://schemas.openxmlformats.org/officeDocument/2006/relationships/webSettings" Target="webSettings.xml"/><Relationship Id="rId9" Type="http://schemas.openxmlformats.org/officeDocument/2006/relationships/hyperlink" Target="https://doi.org/10.1007/s00296-013-2848-3" TargetMode="External"/><Relationship Id="rId14" Type="http://schemas.openxmlformats.org/officeDocument/2006/relationships/hyperlink" Target="https://doi.org/10.1002/acr.21596" TargetMode="External"/><Relationship Id="rId22" Type="http://schemas.openxmlformats.org/officeDocument/2006/relationships/hyperlink" Target="https://www.guidelinecentral.com/summaries/update-of-the-clinical-practice-guideline-for-the-management-of-rheumatoid-arthritis-in-spa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971</Words>
  <Characters>5535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MAHAMAD AZIZUDIN</dc:creator>
  <cp:keywords/>
  <dc:description/>
  <cp:lastModifiedBy>Jeremy Ng</cp:lastModifiedBy>
  <cp:revision>4</cp:revision>
  <dcterms:created xsi:type="dcterms:W3CDTF">2020-02-12T20:37:00Z</dcterms:created>
  <dcterms:modified xsi:type="dcterms:W3CDTF">2020-02-19T21:58:00Z</dcterms:modified>
</cp:coreProperties>
</file>